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119DA">
      <w:pPr>
        <w:jc w:val="center"/>
        <w:rPr>
          <w:rFonts w:hint="eastAsia"/>
          <w:sz w:val="44"/>
          <w:szCs w:val="52"/>
        </w:rPr>
      </w:pPr>
      <w:r>
        <w:rPr>
          <w:rFonts w:hint="eastAsia"/>
          <w:sz w:val="44"/>
          <w:szCs w:val="52"/>
        </w:rPr>
        <w:drawing>
          <wp:inline distT="0" distB="0" distL="114300" distR="114300">
            <wp:extent cx="2764155" cy="2764155"/>
            <wp:effectExtent l="0" t="0" r="7620" b="7620"/>
            <wp:docPr id="44" name="图片 23" descr="t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 descr="timg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4997">
      <w:pPr>
        <w:rPr>
          <w:rFonts w:hint="eastAsia"/>
          <w:sz w:val="44"/>
          <w:szCs w:val="52"/>
        </w:rPr>
      </w:pPr>
    </w:p>
    <w:p w14:paraId="6DAFC395">
      <w:pPr>
        <w:jc w:val="center"/>
        <w:rPr>
          <w:b/>
          <w:bCs/>
          <w:sz w:val="56"/>
          <w:szCs w:val="96"/>
        </w:rPr>
      </w:pPr>
      <w:r>
        <w:rPr>
          <w:rFonts w:hint="eastAsia"/>
          <w:b/>
          <w:bCs/>
          <w:sz w:val="56"/>
          <w:szCs w:val="96"/>
          <w:lang w:val="en-US" w:eastAsia="zh-CN"/>
        </w:rPr>
        <w:t>数据可视化</w:t>
      </w:r>
      <w:r>
        <w:rPr>
          <w:rFonts w:hint="eastAsia"/>
          <w:b/>
          <w:bCs/>
          <w:sz w:val="56"/>
          <w:szCs w:val="96"/>
        </w:rPr>
        <w:t>课程报告</w:t>
      </w:r>
    </w:p>
    <w:p w14:paraId="29C1E5F1">
      <w:pPr>
        <w:rPr>
          <w:rFonts w:hint="eastAsia"/>
        </w:rPr>
      </w:pPr>
    </w:p>
    <w:p w14:paraId="4C35E546">
      <w:pPr>
        <w:rPr>
          <w:rFonts w:hint="eastAsia"/>
        </w:rPr>
      </w:pPr>
    </w:p>
    <w:p w14:paraId="25151AFD">
      <w:pPr>
        <w:rPr>
          <w:rFonts w:hint="eastAsia"/>
        </w:rPr>
      </w:pPr>
    </w:p>
    <w:p w14:paraId="723967FD">
      <w:pPr>
        <w:rPr>
          <w:rFonts w:hint="eastAsia"/>
        </w:rPr>
      </w:pPr>
    </w:p>
    <w:p w14:paraId="4656A27A">
      <w:pPr>
        <w:rPr>
          <w:rFonts w:hint="eastAsia"/>
          <w:sz w:val="40"/>
          <w:szCs w:val="48"/>
        </w:rPr>
      </w:pPr>
    </w:p>
    <w:p w14:paraId="6F5FFCC4">
      <w:pPr>
        <w:ind w:firstLine="1600" w:firstLineChars="400"/>
        <w:rPr>
          <w:rFonts w:hint="eastAsia"/>
          <w:sz w:val="40"/>
          <w:szCs w:val="48"/>
        </w:rPr>
      </w:pPr>
    </w:p>
    <w:p w14:paraId="51C3BA37">
      <w:pPr>
        <w:ind w:firstLine="1200" w:firstLineChars="300"/>
        <w:jc w:val="left"/>
        <w:rPr>
          <w:rFonts w:hint="default"/>
          <w:sz w:val="40"/>
          <w:szCs w:val="48"/>
          <w:u w:val="none"/>
          <w:lang w:val="en-US"/>
        </w:rPr>
      </w:pPr>
      <w:r>
        <w:rPr>
          <w:rFonts w:hint="eastAsia"/>
          <w:sz w:val="40"/>
          <w:szCs w:val="48"/>
        </w:rPr>
        <w:t>姓  名：</w:t>
      </w:r>
      <w:r>
        <w:rPr>
          <w:rFonts w:hint="eastAsia"/>
          <w:sz w:val="40"/>
          <w:szCs w:val="48"/>
          <w:u w:val="single"/>
        </w:rPr>
        <w:t xml:space="preserve"> 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       魏焕诚                   </w:t>
      </w:r>
      <w:r>
        <w:rPr>
          <w:rFonts w:hint="eastAsia"/>
          <w:sz w:val="2"/>
          <w:szCs w:val="6"/>
          <w:u w:val="single"/>
          <w:lang w:val="en-US" w:eastAsia="zh-CN"/>
        </w:rPr>
        <w:t>.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</w:t>
      </w:r>
      <w:r>
        <w:rPr>
          <w:rFonts w:hint="eastAsia"/>
          <w:sz w:val="40"/>
          <w:szCs w:val="48"/>
          <w:u w:val="none"/>
          <w:lang w:val="en-US" w:eastAsia="zh-CN"/>
        </w:rPr>
        <w:t xml:space="preserve">          </w:t>
      </w:r>
    </w:p>
    <w:p w14:paraId="0B866564">
      <w:pPr>
        <w:ind w:firstLine="1200" w:firstLineChars="300"/>
        <w:jc w:val="both"/>
        <w:rPr>
          <w:rFonts w:hint="default"/>
          <w:sz w:val="40"/>
          <w:szCs w:val="48"/>
          <w:u w:val="single"/>
          <w:lang w:val="en-US"/>
        </w:rPr>
      </w:pPr>
      <w:r>
        <w:rPr>
          <w:rFonts w:hint="eastAsia"/>
          <w:sz w:val="40"/>
          <w:szCs w:val="48"/>
        </w:rPr>
        <w:t>学  号：</w:t>
      </w:r>
      <w:r>
        <w:rPr>
          <w:rFonts w:hint="eastAsia"/>
          <w:sz w:val="40"/>
          <w:szCs w:val="48"/>
          <w:u w:val="single"/>
        </w:rPr>
        <w:t xml:space="preserve">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 </w:t>
      </w:r>
      <w:r>
        <w:rPr>
          <w:rFonts w:hint="eastAsia"/>
          <w:sz w:val="40"/>
          <w:szCs w:val="48"/>
          <w:u w:val="single"/>
        </w:rPr>
        <w:t xml:space="preserve">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9109223047              </w:t>
      </w:r>
      <w:r>
        <w:rPr>
          <w:rFonts w:hint="eastAsia"/>
          <w:sz w:val="2"/>
          <w:szCs w:val="6"/>
          <w:u w:val="single"/>
          <w:lang w:val="en-US" w:eastAsia="zh-CN"/>
        </w:rPr>
        <w:t>.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  </w:t>
      </w:r>
    </w:p>
    <w:p w14:paraId="177A9FCE">
      <w:pPr>
        <w:ind w:firstLine="1200" w:firstLineChars="300"/>
        <w:jc w:val="both"/>
        <w:rPr>
          <w:rFonts w:hint="eastAsia"/>
          <w:sz w:val="40"/>
          <w:szCs w:val="48"/>
          <w:u w:val="single"/>
          <w:lang w:val="en-US" w:eastAsia="zh-CN"/>
        </w:rPr>
      </w:pPr>
      <w:r>
        <w:rPr>
          <w:rFonts w:hint="eastAsia"/>
          <w:sz w:val="40"/>
          <w:szCs w:val="48"/>
        </w:rPr>
        <w:t>班  级：</w:t>
      </w:r>
      <w:r>
        <w:rPr>
          <w:rFonts w:hint="eastAsia"/>
          <w:sz w:val="40"/>
          <w:szCs w:val="48"/>
          <w:u w:val="single"/>
          <w:lang w:val="en-US" w:eastAsia="zh-CN"/>
        </w:rPr>
        <w:t>人工智能实验班2301班</w:t>
      </w:r>
    </w:p>
    <w:p w14:paraId="11D21D51">
      <w:pPr>
        <w:pStyle w:val="2"/>
        <w:jc w:val="both"/>
        <w:rPr>
          <w:rFonts w:ascii="Times New Roman" w:hAnsi="宋体" w:eastAsia="宋体"/>
        </w:rPr>
      </w:pPr>
    </w:p>
    <w:p w14:paraId="48E8FDFF">
      <w:pPr>
        <w:rPr>
          <w:rFonts w:ascii="Times New Roman" w:hAnsi="宋体" w:eastAsia="宋体"/>
        </w:rPr>
      </w:pPr>
    </w:p>
    <w:p w14:paraId="72FF8192">
      <w:pPr>
        <w:rPr>
          <w:rFonts w:ascii="Times New Roman" w:hAnsi="宋体" w:eastAsia="宋体"/>
        </w:rPr>
      </w:pPr>
    </w:p>
    <w:p w14:paraId="62C70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88" w:lineRule="auto"/>
        <w:ind w:left="0"/>
        <w:jc w:val="center"/>
        <w:textAlignment w:val="auto"/>
        <w:rPr>
          <w:rFonts w:hint="eastAsia" w:ascii="宋体" w:hAnsi="宋体" w:eastAsia="宋体" w:cs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16CB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88" w:lineRule="auto"/>
        <w:ind w:left="0"/>
        <w:jc w:val="center"/>
        <w:textAlignment w:val="auto"/>
        <w:rPr>
          <w:rFonts w:hint="eastAsia" w:ascii="宋体" w:hAnsi="宋体" w:eastAsia="宋体" w:cs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4AA3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88" w:lineRule="auto"/>
        <w:ind w:left="0"/>
        <w:jc w:val="center"/>
        <w:textAlignment w:val="auto"/>
        <w:rPr>
          <w:rFonts w:hint="eastAsia" w:ascii="宋体" w:hAnsi="宋体" w:eastAsia="宋体" w:cs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6CE3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88" w:lineRule="auto"/>
        <w:ind w:left="0"/>
        <w:jc w:val="center"/>
        <w:textAlignment w:val="auto"/>
        <w:rPr>
          <w:rFonts w:hint="eastAsia" w:ascii="宋体" w:hAnsi="宋体" w:eastAsia="宋体" w:cs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C3D9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88" w:lineRule="auto"/>
        <w:ind w:left="0"/>
        <w:jc w:val="center"/>
        <w:textAlignment w:val="auto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实验三</w:t>
      </w:r>
    </w:p>
    <w:p w14:paraId="00B0BE7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heading_0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一、实验目的</w:t>
      </w:r>
      <w:bookmarkEnd w:id="0"/>
    </w:p>
    <w:p w14:paraId="6CAF8F88">
      <w:pPr>
        <w:numPr>
          <w:numId w:val="0"/>
        </w:numPr>
        <w:spacing w:before="120" w:after="120" w:line="288" w:lineRule="auto"/>
        <w:ind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掌握气象时序数据的预处理、特征工程核心方法，完成标准化、滞后特征、滚动统计特征与衍生特征的构建。</w:t>
      </w:r>
    </w:p>
    <w:p w14:paraId="4C3ADBF5">
      <w:pPr>
        <w:numPr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掌握无监督学习中K-Means、DBSCAN聚类算法的原理与实现流程，完成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聚类参数调优、结果可视化与算法性能对比。</w:t>
      </w:r>
    </w:p>
    <w:p w14:paraId="29C3314E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基于监督学习构建回归模型，实现南昌市未来一日最大风速的连续性预测，完成多模型的性能评估与横向对比。</w:t>
      </w:r>
    </w:p>
    <w:p w14:paraId="253128CD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监督学习构建二分类模型，实现无人机飞行适宜性的判定，完成分类模型的指标评估与效果对比，实现业务场景的落地应用。</w:t>
      </w:r>
    </w:p>
    <w:p w14:paraId="443B601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heading_1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二、实验环境</w:t>
      </w:r>
      <w:bookmarkEnd w:id="1"/>
    </w:p>
    <w:p w14:paraId="7B19C6B1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开发环境：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 3.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13</w:t>
      </w:r>
    </w:p>
    <w:p w14:paraId="7970DA4E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核心依赖库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：pandas、numpy、scikit-learn、matplotlib、LightGBM</w:t>
      </w:r>
    </w:p>
    <w:p w14:paraId="3BB2F568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数据来源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"https://open-meteo.com/" \h </w:instrTex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https://open-meteo.com/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4D41C83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heading_2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三、实验数据说明</w:t>
      </w:r>
      <w:bookmarkEnd w:id="2"/>
    </w:p>
    <w:p w14:paraId="6F4EA150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本次实验采用南昌市2024-2025年度逐日气象观测数据，数据集共包含9个核心字段，具体说明如下：</w:t>
      </w:r>
    </w:p>
    <w:p w14:paraId="097D731C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83447BC">
      <w:pPr>
        <w:spacing w:before="120" w:after="120" w:line="288" w:lineRule="auto"/>
        <w:ind w:left="0"/>
        <w:jc w:val="center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数据集核心字段说明</w:t>
      </w:r>
    </w:p>
    <w:tbl>
      <w:tblPr>
        <w:tblStyle w:val="3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3"/>
        <w:gridCol w:w="3140"/>
        <w:gridCol w:w="1447"/>
      </w:tblGrid>
      <w:tr w14:paraId="6C6DBA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9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5EA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字段名称</w:t>
            </w:r>
          </w:p>
        </w:tc>
        <w:tc>
          <w:tcPr>
            <w:tcW w:w="31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660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字段含义</w:t>
            </w:r>
          </w:p>
        </w:tc>
        <w:tc>
          <w:tcPr>
            <w:tcW w:w="144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325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</w:tr>
      <w:tr w14:paraId="4AB28C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9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747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31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AB1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观测日期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F91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533AB3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B66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t2m_max/t2m_min/t2m_mean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712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日最高/最低/平均气温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100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°C</w:t>
            </w:r>
          </w:p>
        </w:tc>
      </w:tr>
      <w:tr w14:paraId="5ACB8C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890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precipitation_sum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8D3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日总降水量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97A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</w:tc>
      </w:tr>
      <w:tr w14:paraId="77AFFF0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EB5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windspeed_10m_max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502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日最大风速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677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统一为m/s</w:t>
            </w:r>
          </w:p>
        </w:tc>
      </w:tr>
      <w:tr w14:paraId="21AF1B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418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relative_humidity_2m_mean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3A7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日平均相对湿度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504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6ED1A51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817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surface_pressure_mean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A9D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日平均地表气压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02B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hPa</w:t>
            </w:r>
          </w:p>
        </w:tc>
      </w:tr>
      <w:tr w14:paraId="6944805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9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353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weathercode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42B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天气现象编码（WMO标准）</w:t>
            </w:r>
          </w:p>
        </w:tc>
        <w:tc>
          <w:tcPr>
            <w:tcW w:w="144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5B1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5DAF55CE">
      <w:pPr>
        <w:spacing w:before="120" w:after="120" w:line="288" w:lineRule="auto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88D499C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数据集划分规则：2024年全年数据作为模型训练集，2025年全年数据作为模型测试集。</w:t>
      </w:r>
    </w:p>
    <w:p w14:paraId="450EB87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heading_3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四、实验内容与结果分析</w:t>
      </w:r>
      <w:bookmarkEnd w:id="3"/>
    </w:p>
    <w:p w14:paraId="0517981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heading_4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 无监督学习——聚类分析</w:t>
      </w:r>
      <w:bookmarkEnd w:id="4"/>
    </w:p>
    <w:p w14:paraId="3CD939C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本模块基于气象连续特征完成无监督聚类，挖掘南昌市气象数据的内在分布规律，对比K-Means与DBSCAN两种聚类算法的性能差异。</w:t>
      </w:r>
    </w:p>
    <w:p w14:paraId="22AB0B73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heading_5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4.1.1 特征选择与数据预处理</w:t>
      </w:r>
      <w:bookmarkEnd w:id="5"/>
    </w:p>
    <w:p w14:paraId="73593E6B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特征选择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：选取4个连续型气象特征构建聚类分析数据集，特征集X = [t2m_mean, relative_humidity_2m_mean, precipitation_sum, windspeed_10m_max]。</w:t>
      </w:r>
    </w:p>
    <w:p w14:paraId="27EB3F20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预处理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：因所选特征量纲与数值范围差异较大，采用Z-Score标准化方法对数据集进行处理，使所有特征满足均值为0、方差为1的分布，消除量纲对聚类结果的干扰。</w:t>
      </w:r>
    </w:p>
    <w:p w14:paraId="68FA4AAA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heading_6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4.1.2 K-Means聚类实验</w:t>
      </w:r>
      <w:bookmarkEnd w:id="6"/>
    </w:p>
    <w:p w14:paraId="361B17ED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实验设计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：设定聚类数k的取值范围为[2,3,4,5,6]，分别对标准化后的数据集执行K-Means聚类，计算不同k值下模型的惯性值（Inertia，即样本到其所属聚类中心的距离平方和），通过肘部法则确定最优聚类数。</w:t>
      </w:r>
    </w:p>
    <w:p w14:paraId="77BC5B8E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实验结果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：绘制k值与Inertia的折线图（图1），曲线随k值增大持续下降，在k=3处出现明显拐点，惯性下降速率显著放缓，因此确定本次实验K-Means算法的最优聚类数为3。</w:t>
      </w:r>
    </w:p>
    <w:p w14:paraId="3D72425B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</w:rPr>
        <w:drawing>
          <wp:inline distT="0" distB="0" distL="114300" distR="114300">
            <wp:extent cx="5103495" cy="2867660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9E00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图1 不同k值下K-Means模型惯性变化曲线（肘部法则）</w:t>
      </w:r>
    </w:p>
    <w:p w14:paraId="12D756B7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heading_7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4.1.3 DBSCAN聚类实验</w:t>
      </w:r>
      <w:bookmarkEnd w:id="7"/>
    </w:p>
    <w:p w14:paraId="6424C227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实验设计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采用与K-Means相同的标准化数据集，对DBSCAN算法的核心参数进行网格调优，其中邻域半径eps取值范围为0.3-0.9，邻域最小样本数min_samples设置为5和10，统计不同参数组合下的有效聚类数量（不含噪声点）与噪声点数量。</w:t>
      </w:r>
    </w:p>
    <w:p w14:paraId="2F1219AA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实验结果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不同参数组合的聚类效果如下表所示。结果显示，eps与聚类数量呈负相关、与噪声点数量呈负相关；min_samples与聚类数量呈负相关、与噪声点数量呈正相关。当eps=0.5、min_samples=5时，聚类数量为3，与K-Means最优聚类数一致，噪声点数量182，聚类效果均衡，确定为本次实验DBSCAN的较优参数组合。</w:t>
      </w:r>
    </w:p>
    <w:p w14:paraId="058A8BFB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表2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不同参数组合的聚类效果</w:t>
      </w:r>
    </w:p>
    <w:tbl>
      <w:tblPr>
        <w:tblStyle w:val="3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1"/>
        <w:gridCol w:w="2739"/>
        <w:gridCol w:w="2187"/>
        <w:gridCol w:w="1873"/>
      </w:tblGrid>
      <w:tr w14:paraId="78DAA4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8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66B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eps取值</w:t>
            </w:r>
          </w:p>
        </w:tc>
        <w:tc>
          <w:tcPr>
            <w:tcW w:w="273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774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min_samples取值</w:t>
            </w:r>
          </w:p>
        </w:tc>
        <w:tc>
          <w:tcPr>
            <w:tcW w:w="218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BBC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有效聚类数量</w:t>
            </w:r>
          </w:p>
        </w:tc>
        <w:tc>
          <w:tcPr>
            <w:tcW w:w="187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451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噪声点数量</w:t>
            </w:r>
          </w:p>
        </w:tc>
      </w:tr>
      <w:tr w14:paraId="58966C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01D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0.3</w:t>
            </w:r>
          </w:p>
        </w:tc>
        <w:tc>
          <w:tcPr>
            <w:tcW w:w="27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52E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781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7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E58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694</w:t>
            </w:r>
          </w:p>
        </w:tc>
      </w:tr>
      <w:tr w14:paraId="619584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1A8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0.4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AE2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484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46B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317</w:t>
            </w:r>
          </w:p>
        </w:tc>
      </w:tr>
      <w:tr w14:paraId="0BF937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C22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0.4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4C8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7AC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D20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508</w:t>
            </w:r>
          </w:p>
        </w:tc>
      </w:tr>
      <w:tr w14:paraId="46E369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835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090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470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194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182</w:t>
            </w:r>
          </w:p>
        </w:tc>
      </w:tr>
      <w:tr w14:paraId="309A03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953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36A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797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74F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337</w:t>
            </w:r>
          </w:p>
        </w:tc>
      </w:tr>
      <w:tr w14:paraId="0B428A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BAD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0.6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ED8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09A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82A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109</w:t>
            </w:r>
          </w:p>
        </w:tc>
      </w:tr>
      <w:tr w14:paraId="5D6EC1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37B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0.6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23E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C0B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0DE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213</w:t>
            </w:r>
          </w:p>
        </w:tc>
      </w:tr>
      <w:tr w14:paraId="0E6D40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BC4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0.7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812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612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2AB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64</w:t>
            </w:r>
          </w:p>
        </w:tc>
      </w:tr>
      <w:tr w14:paraId="3B980B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7124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0.7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F7F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D12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0DF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107</w:t>
            </w:r>
          </w:p>
        </w:tc>
      </w:tr>
      <w:tr w14:paraId="3779D54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115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09A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247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345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43</w:t>
            </w:r>
          </w:p>
        </w:tc>
      </w:tr>
      <w:tr w14:paraId="2B91A03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231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F69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69A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ABA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</w:tr>
      <w:tr w14:paraId="460F8A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796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0.9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C7C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B17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A10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</w:tr>
      <w:tr w14:paraId="53487D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77E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0.9</w:t>
            </w:r>
          </w:p>
        </w:tc>
        <w:tc>
          <w:tcPr>
            <w:tcW w:w="27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DCB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5A3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7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65C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52</w:t>
            </w:r>
          </w:p>
        </w:tc>
      </w:tr>
    </w:tbl>
    <w:p w14:paraId="7660CAF4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heading_8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4.1.4 聚类算法可视化与对比分析</w:t>
      </w:r>
      <w:bookmarkEnd w:id="8"/>
    </w:p>
    <w:p w14:paraId="0E2769AA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PCA降维将4维特征映射至二维平面，在同一画布中绘制双生子图完成聚类结果可视化对比（图2）。左图为最优k=3时K-Means的聚类结果，右图为较优参数下DBSCAN的聚类结果（区分核心点、边界点、噪声点，暗色为噪声点）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3990" cy="2269490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DDA50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 K-Means与DBSCAN聚类结果可视化对比</w:t>
      </w:r>
    </w:p>
    <w:p w14:paraId="2C313D7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结果分析：</w:t>
      </w:r>
    </w:p>
    <w:p w14:paraId="4069C1BA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K-Means聚类结果呈现球状分布，聚类边界清晰，所有样本均被划分至对应簇中，无噪声点，符合其基于距离的球形聚类特性；</w:t>
      </w:r>
    </w:p>
    <w:p w14:paraId="1F3005C4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DBSCAN可识别非球形的不规则簇，同时能有效分离异常样本（噪声点），对气象数据中的极端天气样本具备更好的识别能力；</w:t>
      </w:r>
    </w:p>
    <w:p w14:paraId="489479B3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两种算法在核心簇的分布上具备一致性，验证了聚类结果的可靠性，可根据业务场景选择算法：需完整划分所有样本选K-Means，需识别异常气象数据选DBSCAN。</w:t>
      </w:r>
    </w:p>
    <w:p w14:paraId="56B662E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heading_9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 监督学习（回归）——日最大风速预测</w:t>
      </w:r>
      <w:bookmarkEnd w:id="9"/>
    </w:p>
    <w:p w14:paraId="643113B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本模块构建回归模型，基于当日及历史气象数据，预测南昌市未来一日的最大风速，完成多模型的训练、评估与对比。</w:t>
      </w:r>
    </w:p>
    <w:p w14:paraId="3643DB3A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heading_10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4.2.1 任务描述</w:t>
      </w:r>
      <w:bookmarkEnd w:id="10"/>
    </w:p>
    <w:p w14:paraId="535EBA1B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以南昌市未来一日的最大风速为预测目标，构建时序回归预测模型，基于测试集结果评估模型的预测精度，对比不同回归算法的拟合效果。</w:t>
      </w:r>
    </w:p>
    <w:p w14:paraId="0B88A0D0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heading_11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4.2.2 特征工程</w:t>
      </w:r>
      <w:bookmarkEnd w:id="11"/>
    </w:p>
    <w:p w14:paraId="10BCEE45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为充分挖掘时序气象数据的规律，构建4类特征集，所有特征均采用当日及历史数据，避免数据泄露，具体如下：</w:t>
      </w:r>
    </w:p>
    <w:p w14:paraId="317EA606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基础特征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：当日平均温度、当日平均湿度、当日平均气压、当日降水量、当日最大风速；</w:t>
      </w:r>
    </w:p>
    <w:p w14:paraId="697321AC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滞后特征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：目标特征过去1天、2天、3天的历史观测值（lag_1、lag_2、lag_3）；</w:t>
      </w:r>
    </w:p>
    <w:p w14:paraId="0A8A5F04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滚动统计特征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：过去3天的平均温度、过去7天的累计降水量、过去5天的最大风速；</w:t>
      </w:r>
    </w:p>
    <w:p w14:paraId="4985B9CB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衍生特征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：温度变化率（(今日温度-昨日温度)/昨日温度）、气压梯度（今日气压-昨日气压）。</w:t>
      </w:r>
    </w:p>
    <w:p w14:paraId="4FC2A5E8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heading_12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4.2.3 线性回归模型实验</w:t>
      </w:r>
      <w:bookmarkEnd w:id="12"/>
    </w:p>
    <w:p w14:paraId="6D05EB93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实验流程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：基于训练集完成线性回归模型训练，在测试集完成未来一日最大风速的预测，采用均方误差（MSE）、决定系数（R²）作为模型评估指标。</w:t>
      </w:r>
    </w:p>
    <w:p w14:paraId="7543C6AB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实验结果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：线性回归模型在测试集上的性能为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MSE=1.8846，R²=0.2259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；绘制真实值-预测值散点图（图3），横轴为风速真实值，纵轴为模型预测值，散点整体沿对角线分布，但离散度较高，说明模型具备基础预测能力，但拟合精度有限。</w:t>
      </w:r>
    </w:p>
    <w:p w14:paraId="000E1E27">
      <w:pPr>
        <w:spacing w:before="120" w:after="120" w:line="288" w:lineRule="auto"/>
        <w:ind w:left="0"/>
        <w:jc w:val="center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44595" cy="3641090"/>
            <wp:effectExtent l="0" t="0" r="8255" b="6985"/>
            <wp:docPr id="3" name="图片 3" descr="线性回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线性回归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A598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图3 线性回归模型风速真实值与预测值散点图</w:t>
      </w:r>
    </w:p>
    <w:p w14:paraId="42205B94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heading_13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4.2.4 多回归模型性能对比分析</w:t>
      </w:r>
      <w:bookmarkEnd w:id="13"/>
    </w:p>
    <w:p w14:paraId="0CEA7B15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在相同的特征集与数据集划分规则下，额外训练KNN、SVR、LightGBM三种回归模型，与线性回归模型完成横向对比，各模型在测试集上的性能指标如下表、图4所示。</w:t>
      </w:r>
    </w:p>
    <w:p w14:paraId="2435F65F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表3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不同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模型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在测试集上的性能指标</w:t>
      </w:r>
    </w:p>
    <w:tbl>
      <w:tblPr>
        <w:tblStyle w:val="3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39"/>
        <w:gridCol w:w="2322"/>
        <w:gridCol w:w="2119"/>
      </w:tblGrid>
      <w:tr w14:paraId="260B66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8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81C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模型名称</w:t>
            </w:r>
          </w:p>
        </w:tc>
        <w:tc>
          <w:tcPr>
            <w:tcW w:w="23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FBF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测试集MSE</w:t>
            </w:r>
          </w:p>
        </w:tc>
        <w:tc>
          <w:tcPr>
            <w:tcW w:w="211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pct10" w:color="000000" w:themeColor="text1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B58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测试集R²</w:t>
            </w:r>
          </w:p>
        </w:tc>
      </w:tr>
      <w:tr w14:paraId="2AD0B5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E2D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Linear Regression</w:t>
            </w:r>
          </w:p>
        </w:tc>
        <w:tc>
          <w:tcPr>
            <w:tcW w:w="23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1E6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1.8846</w:t>
            </w:r>
          </w:p>
        </w:tc>
        <w:tc>
          <w:tcPr>
            <w:tcW w:w="21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68C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0.2259</w:t>
            </w:r>
          </w:p>
        </w:tc>
      </w:tr>
      <w:tr w14:paraId="617F5D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4D0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KNN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BC0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2.6466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824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-0.0872</w:t>
            </w:r>
          </w:p>
        </w:tc>
      </w:tr>
      <w:tr w14:paraId="2A2BDF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398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SVR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69B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1.8284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1BC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0.2489</w:t>
            </w:r>
          </w:p>
        </w:tc>
      </w:tr>
      <w:tr w14:paraId="10EC605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A49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LightGBM</w:t>
            </w:r>
          </w:p>
        </w:tc>
        <w:tc>
          <w:tcPr>
            <w:tcW w:w="23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8B9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2.3922</w:t>
            </w:r>
          </w:p>
        </w:tc>
        <w:tc>
          <w:tcPr>
            <w:tcW w:w="21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A49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0.0173</w:t>
            </w:r>
          </w:p>
        </w:tc>
      </w:tr>
    </w:tbl>
    <w:p w14:paraId="533572C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1955800"/>
            <wp:effectExtent l="0" t="0" r="635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49A6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图4 各回归模型MSE与R²指标对比图</w:t>
      </w:r>
    </w:p>
    <w:p w14:paraId="4A8F5F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结果分析：</w:t>
      </w:r>
    </w:p>
    <w:p w14:paraId="691C55A3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所有模型中，SVR模型预测效果最优，MSE最低、R²最高，对非线性的气象时序数据具备更好的拟合能力；</w:t>
      </w:r>
    </w:p>
    <w:p w14:paraId="156E9362">
      <w:pPr>
        <w:numPr>
          <w:ilvl w:val="1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KNN模型R²为负值，说明其预测效果差于均值基准模型，完全不适用本次风速预测任务；</w:t>
      </w:r>
    </w:p>
    <w:p w14:paraId="0966D11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(3)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LightGBM模型拟合效果不佳，推测原因是数据集样本量有限，未完成模型超参数调优，出现了过拟合现象；</w:t>
      </w:r>
    </w:p>
    <w:p w14:paraId="6B033628">
      <w:pPr>
        <w:numPr>
          <w:ilvl w:val="1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线性回归模型性能仅次于SVR，模型结构简单、可解释性强，可作为本次任务的基准模型。</w:t>
      </w:r>
    </w:p>
    <w:p w14:paraId="67286A5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heading_14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 监督学习（分类）——无人机飞行适宜性二分类判定</w:t>
      </w:r>
      <w:bookmarkEnd w:id="14"/>
    </w:p>
    <w:p w14:paraId="0ED20D99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本模块基于气象数据构建二分类模型，判定未来一日是否适合无人机飞行，完成模型训练、评估与业务落地。</w:t>
      </w:r>
    </w:p>
    <w:p w14:paraId="15C34A7A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heading_15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4.3.1 任务描述与标签构建</w:t>
      </w:r>
      <w:bookmarkEnd w:id="15"/>
    </w:p>
    <w:p w14:paraId="6F731316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业务规则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：设定无人机安全飞行标准为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未来一日最大风速＜8m/s 且 未来一日降水量＜3mm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</w:p>
    <w:p w14:paraId="62395F04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标签工程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：基于上述规则，为每一行当日数据构建标签y，标签值1代表“明日适合无人机飞行”，标签值0代表“明日不适合无人机飞行”，确保标签仅使用明日数据，特征仅使用当日及历史数据，无数据泄露。</w:t>
      </w:r>
    </w:p>
    <w:p w14:paraId="31F71438">
      <w:pPr>
        <w:spacing w:before="260" w:after="120" w:line="288" w:lineRule="auto"/>
        <w:ind w:left="0" w:firstLine="281" w:firstLineChars="10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heading_16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4.3.2 特征构建</w:t>
      </w:r>
      <w:bookmarkEnd w:id="16"/>
    </w:p>
    <w:p w14:paraId="39531866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特征集与回归任务保持一致，包含当日基础气象特征、滞后特征、滚动统计特征与衍生特征，所有特征均为当日及历史可观测数据，符合业务实际应用逻辑。</w:t>
      </w:r>
    </w:p>
    <w:p w14:paraId="47B1A6AE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heading_17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4.3.3 单模型实验结果</w:t>
      </w:r>
      <w:bookmarkEnd w:id="17"/>
    </w:p>
    <w:p w14:paraId="7E929321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逻辑回归分类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：基于训练集完成逻辑回归二分类模型训练，在测试集上完成预测，采用准确率、精确率、召回率、F1-score作为核心评估指标，结果为：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准确率0.7582，精确率0.8231，召回率0.8705，F1-score 0.8462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。模型召回率较高，可有效识别适合飞行的日期，降低漏判风险，符合无人机飞行的安全需求。</w:t>
      </w:r>
    </w:p>
    <w:p w14:paraId="1A9ABF60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决策树分类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：训练决策树分类模型，设置max_depth=3限制树深度，防止模型过拟合，为后续模型对比提供基准。</w:t>
      </w:r>
    </w:p>
    <w:p w14:paraId="3575AC2E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heading_18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4.3.4 多分类模型性能对比分析</w:t>
      </w:r>
      <w:bookmarkEnd w:id="18"/>
      <w:bookmarkStart w:id="20" w:name="_GoBack"/>
      <w:bookmarkEnd w:id="20"/>
    </w:p>
    <w:p w14:paraId="2578C7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在相同的特征集与数据集划分规则下，对比逻辑回归、决策树、随机森林三种分类模型的测试集性能，结果如下表所示。</w:t>
      </w:r>
    </w:p>
    <w:p w14:paraId="03BF07E8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表4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不同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模型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在测试集上的性能指标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6F79F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pct10" w:color="000000" w:themeColor="text1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E5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模型名称</w:t>
            </w:r>
          </w:p>
        </w:tc>
        <w:tc>
          <w:tcPr>
            <w:tcW w:w="16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pct10" w:color="000000" w:themeColor="text1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4CB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准确率</w:t>
            </w:r>
          </w:p>
        </w:tc>
        <w:tc>
          <w:tcPr>
            <w:tcW w:w="16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pct10" w:color="000000" w:themeColor="text1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45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精确率</w:t>
            </w:r>
          </w:p>
        </w:tc>
        <w:tc>
          <w:tcPr>
            <w:tcW w:w="16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pct10" w:color="000000" w:themeColor="text1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99B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召回率</w:t>
            </w:r>
          </w:p>
        </w:tc>
        <w:tc>
          <w:tcPr>
            <w:tcW w:w="16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pct10" w:color="000000" w:themeColor="text1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78B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F1-score</w:t>
            </w:r>
          </w:p>
        </w:tc>
      </w:tr>
      <w:tr w14:paraId="082448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10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Logistic Regression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526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0.7582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95C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0.8231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CC4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0.8705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FAA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0.8462</w:t>
            </w:r>
          </w:p>
        </w:tc>
      </w:tr>
      <w:tr w14:paraId="19E7AB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D9A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Decision Tree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5D5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0.7033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3B9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0.7972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92E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0.8201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716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0.8085</w:t>
            </w:r>
          </w:p>
        </w:tc>
      </w:tr>
      <w:tr w14:paraId="5D8750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9D2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Random Forest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702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0.6978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73D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0.8111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462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0.7878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382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宋体" w:cs="Consolas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0.7993</w:t>
            </w:r>
          </w:p>
        </w:tc>
      </w:tr>
    </w:tbl>
    <w:p w14:paraId="22F69AC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结果分析：</w:t>
      </w:r>
    </w:p>
    <w:p w14:paraId="24BBC5D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逻辑回归模型在所有评估指标上均为最优，综合性能最佳，同时模型可解释性强，可清晰量化各气象特征对飞行适宜性的影响权重，是本次任务的最优模型；</w:t>
      </w:r>
    </w:p>
    <w:p w14:paraId="01F14E7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决策树与随机森林模型性能均弱于逻辑回归，推测原因是数据集样本量有限，树模型易出现过拟合，泛化能力下降；</w:t>
      </w:r>
    </w:p>
    <w:p w14:paraId="08245D9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基于最优逻辑回归模型，输入明日气象预测数据，可直接输出“适合飞行”或“不适合飞行”的判定结果，完成业务场景的落地应用。</w:t>
      </w:r>
    </w:p>
    <w:p w14:paraId="75F4FD0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heading_19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五、实验总结</w:t>
      </w:r>
      <w:bookmarkEnd w:id="19"/>
    </w:p>
    <w:p w14:paraId="410A49DD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本次实验完成了南昌市2024-2025年气象数据的全流程机器学习分析，覆盖数据预处理、特征工程、无监督聚类、监督回归与分类全环节，验证了机器学习算法在气象数据分析与业务场景落地中的有效性。</w:t>
      </w:r>
    </w:p>
    <w:p w14:paraId="3549DA03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聚类分析中，K-Means算法通过肘部法则确定最优聚类数k=3，可实现样本的完整划分；DBSCAN算法可有效识别气象数据中的异常样本与不规则簇，两种算法可适配不同的业务需求。</w:t>
      </w:r>
    </w:p>
    <w:p w14:paraId="271E0886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风速回归预测任务中，SVR模型预测精度最优，线性回归模型可解释性最强，KNN与未调优的LightGBM模型不适用本次任务，气象时序数据预测需优先选择对非线性关系拟合能力强的模型。</w:t>
      </w:r>
    </w:p>
    <w:p w14:paraId="791FC597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无人机飞行适宜性分类任务中，逻辑回归模型综合性能最优，各项指标均优于树模型，可满足无人机飞行安全判定的业务需求，召回率较高，可有效降低飞行安全风险。</w:t>
      </w:r>
    </w:p>
    <w:p w14:paraId="16CB7C06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本次实验的不足在于：模型超参数仅完成基础调优，未通过网格搜索、交叉验证实现全局最优；特征工程可进一步优化，可加入天气现象编码、季节周期等特征提升模型精度。</w:t>
      </w:r>
    </w:p>
    <w:p w14:paraId="4621DF9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D1A162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66B783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C26A5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72500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6C622E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6BC42C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E0050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2FAAA0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3723C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84745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521D6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B21A5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E9B57E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3DD71B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0DFABBB">
      <w:pPr>
        <w:spacing w:before="120" w:after="120" w:line="288" w:lineRule="auto"/>
        <w:ind w:left="0"/>
        <w:jc w:val="both"/>
        <w:rPr>
          <w:rFonts w:hint="default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0914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E1D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49D719D"/>
    <w:rsid w:val="5E2579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3468</Words>
  <Characters>4430</Characters>
  <TotalTime>26</TotalTime>
  <ScaleCrop>false</ScaleCrop>
  <LinksUpToDate>false</LinksUpToDate>
  <CharactersWithSpaces>4550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2026-03-19T02:47:00Z</dcterms:created>
  <dc:creator>Apache POI</dc:creator>
  <cp:lastModifiedBy>魏</cp:lastModifiedBy>
  <dcterms:modified xsi:type="dcterms:W3CDTF">2026-03-19T03:30:54Z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eyJoZGlkIjoiNWY3NjFjNWYwNmY4Nzg4ZTQ2ZWVhYjg3MmZkNTVjZDYiLCJ1c2VySWQiOiI5NDYzMjA3MjAifQ==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ABE65C7143144D8DAC80F4FA9023EFD5_12</vt:lpwstr>
  </property>
</Properties>
</file>