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sz w:val="44"/>
          <w:szCs w:val="44"/>
        </w:rPr>
        <w:t xml:space="preserve">Incident Response Process</w:t>
      </w:r>
    </w:p>
    <w:p>
      <w:pPr>
        <w:spacing w:after="100"/>
        <w:jc w:val="center"/>
      </w:pPr>
      <w:r>
        <w:rPr>
          <w:color w:val="555555"/>
          <w:sz w:val="26"/>
          <w:szCs w:val="26"/>
        </w:rPr>
        <w:t xml:space="preserve">Technical and Organizational Procedure</w:t>
      </w:r>
    </w:p>
    <w:p>
      <w:pPr>
        <w:spacing w:after="1200"/>
        <w:jc w:val="center"/>
      </w:pPr>
      <w:r>
        <w:rPr>
          <w:i/>
          <w:iCs/>
          <w:color w:val="777777"/>
          <w:sz w:val="22"/>
          <w:szCs w:val="22"/>
        </w:rPr>
        <w:t xml:space="preserve">For use by the Security Operations function, including a future external SOC provider</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30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Document Owner</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[Security Team / IT Department]</w:t>
            </w:r>
          </w:p>
        </w:tc>
      </w:tr>
      <w:tr>
        <w:trPr>
          <w:cantSplit/>
        </w:trPr>
        <w:tc>
          <w:tcPr>
            <w:tcW w:type="dxa" w:w="30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Version</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2.1</w:t>
            </w:r>
          </w:p>
        </w:tc>
      </w:tr>
      <w:tr>
        <w:trPr>
          <w:cantSplit/>
        </w:trPr>
        <w:tc>
          <w:tcPr>
            <w:tcW w:type="dxa" w:w="30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Status</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Draft — for review</w:t>
            </w:r>
          </w:p>
        </w:tc>
      </w:tr>
      <w:tr>
        <w:trPr>
          <w:cantSplit/>
        </w:trPr>
        <w:tc>
          <w:tcPr>
            <w:tcW w:type="dxa" w:w="30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Review Cycle</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Annually, or after any major incident</w:t>
            </w:r>
          </w:p>
        </w:tc>
      </w:tr>
      <w:tr>
        <w:trPr>
          <w:cantSplit/>
        </w:trPr>
        <w:tc>
          <w:tcPr>
            <w:tcW w:type="dxa" w:w="30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Classification</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Internal — Confidential</w:t>
            </w:r>
          </w:p>
        </w:tc>
      </w:tr>
    </w:tbl>
    <w:p>
      <w:r>
        <w:br w:type="page"/>
      </w:r>
    </w:p>
    <w:p>
      <w:pPr>
        <w:pStyle w:val="Heading1"/>
        <w:spacing w:after="200" w:before="400"/>
      </w:pPr>
      <w:r>
        <w:t xml:space="preserve">1. Purpose and Scope</w:t>
      </w:r>
    </w:p>
    <w:p>
      <w:pPr>
        <w:spacing w:after="160"/>
        <w:jc w:val="left"/>
      </w:pPr>
      <w:r>
        <w:rPr>
          <w:b w:val="false"/>
          <w:bCs w:val="false"/>
          <w:i w:val="false"/>
          <w:iCs w:val="false"/>
        </w:rPr>
        <w:t xml:space="preserve">This document defines how the organization detects, analyzes, contains, and recovers from information security incidents, and how it learns from them afterward. It is written to be independent of any specific detection or response tool, so that it remains valid as the organization's technology changes — including the planned transition to a dedicated external Security Operations Center (SOC).</w:t>
      </w:r>
    </w:p>
    <w:p>
      <w:pPr>
        <w:spacing w:after="160"/>
        <w:jc w:val="left"/>
      </w:pPr>
      <w:r>
        <w:rPr>
          <w:b w:val="false"/>
          <w:bCs w:val="false"/>
          <w:i w:val="false"/>
          <w:iCs w:val="false"/>
        </w:rPr>
        <w:t xml:space="preserve">The process applies to any event that has been confirmed, or is reasonably suspected, to represent a violation of the organization's information security policies, including but not limited to: malware infections, unauthorized access, data exfiltration, denial of service, web application attacks, insider misuse, and physical security events with an information-security dimension.</w:t>
      </w:r>
    </w:p>
    <w:p>
      <w:pPr>
        <w:spacing w:after="160"/>
        <w:jc w:val="left"/>
      </w:pPr>
      <w:r>
        <w:rPr>
          <w:b w:val="false"/>
          <w:bCs w:val="false"/>
          <w:i w:val="false"/>
          <w:iCs w:val="false"/>
        </w:rPr>
        <w:t xml:space="preserve">This document does not describe how to configure any particular detection platform, SIEM, or firewall. Tool-specific configuration belongs in separate technical runbooks referenced from this process, not embedded in it — this keeps the process itself stable even when tools are replaced.</w:t>
      </w:r>
    </w:p>
    <w:p>
      <w:pPr>
        <w:pStyle w:val="Heading1"/>
        <w:spacing w:after="200" w:before="400"/>
      </w:pPr>
      <w:r>
        <w:t xml:space="preserve">2. Definitions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22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Term</w:t>
            </w:r>
          </w:p>
        </w:tc>
        <w:tc>
          <w:tcPr>
            <w:tcW w:type="dxa" w:w="68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Definition</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Event</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Any observable occurrence in a system or network (e.g., a log entry, an alert). Not every event is an incident.</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Incident</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An event, or set of correlated events, confirmed or reasonably suspected to violate security policy or threaten the confidentiality, integrity, or availability of an asset.</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Indicator of Compromise (IoC)</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An observable artifact (IP address, file hash, domain, registry key, etc.) associated with malicious activity.</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Containment</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Action taken to limit the scope or impact of an incident without necessarily eliminating the root cause.</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Eradication</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Removal of the root cause of an incident (malware, unauthorized account, vulnerability, etc.).</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MTTD / MTTR</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Mean Time to Detect / Mean Time to Respond — core metrics used to evaluate the process over time.</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Playbook</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A concrete, incident-type-specific set of steps that instantiates this general process for one category of incident (see Annex A for an example).</w:t>
            </w:r>
          </w:p>
        </w:tc>
      </w:tr>
    </w:tbl>
    <w:p>
      <w:pPr>
        <w:pStyle w:val="Heading1"/>
        <w:spacing w:after="200" w:before="400"/>
      </w:pPr>
      <w:r>
        <w:t xml:space="preserve">3. Roles and Responsibilities</w:t>
      </w:r>
    </w:p>
    <w:p>
      <w:pPr>
        <w:spacing w:after="160"/>
        <w:jc w:val="left"/>
      </w:pPr>
      <w:r>
        <w:rPr>
          <w:b w:val="false"/>
          <w:bCs w:val="false"/>
          <w:i w:val="false"/>
          <w:iCs w:val="false"/>
        </w:rPr>
        <w:t xml:space="preserve">Exact titles will vary by organization size; what matters is that every one of these functions is assigned to a named person or role before an incident occurs, not during 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22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Role</w:t>
            </w:r>
          </w:p>
        </w:tc>
        <w:tc>
          <w:tcPr>
            <w:tcW w:type="dxa" w:w="68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Responsibility</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Incident Handler / Analyst (Tier 1)</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Monitors alerts, performs initial triage, classifies severity, escalates confirmed incidents.</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Incident Response Lead (Tier 2)</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Owns a confirmed incident end-to-end: directs containment/eradication, coordinates with other roles, authorizes response actions above the analyst's authority level.</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System / Asset Owner</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Owns the affected system; must approve any containment action with potential business impact (e.g., isolating a production server) unless the severity level permits the Incident Response Lead to act unilaterally (see Section 5.2).</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Management / Incident Commander</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Engaged for High/Critical incidents; owns external communication, legal/regulatory notification decisions, and resourcing.</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External SOC Provider (future)</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Once operational, assumes Tier 1/Tier 2 monitoring and initial response per the Service Level Agreement; escalates to internal Incident Response Lead per the thresholds in Section 5.2. This document is the reference both parties operate against.</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RSSI (Responsable de la Sécurité des Systèmes d'Information)</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The organization's official liaison with DGSSI under Loi 05-20/DNSSI; owns regulatory incident declarations, homologation compliance, and coordination with PASSI-qualified auditors (see Section 11 and 12.5).</w:t>
            </w:r>
          </w:p>
        </w:tc>
      </w:tr>
    </w:tbl>
    <w:p>
      <w:pPr>
        <w:pStyle w:val="Heading1"/>
        <w:spacing w:after="200" w:before="400"/>
      </w:pPr>
      <w:r>
        <w:t xml:space="preserve">4. Incident Severity Classification</w:t>
      </w:r>
    </w:p>
    <w:p>
      <w:pPr>
        <w:spacing w:after="160"/>
        <w:jc w:val="left"/>
      </w:pPr>
      <w:r>
        <w:rPr>
          <w:b w:val="false"/>
          <w:bCs w:val="false"/>
          <w:i w:val="false"/>
          <w:iCs w:val="false"/>
        </w:rPr>
        <w:t xml:space="preserve">Severity is assigned at first triage and re-evaluated as the incident develops. Severity determines response time targets and who is authorized to act.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rPr>
        <w:tc>
          <w:tcPr>
            <w:tcW w:type="dxa" w:w="12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Level</w:t>
            </w:r>
          </w:p>
        </w:tc>
        <w:tc>
          <w:tcPr>
            <w:tcW w:type="dxa" w:w="38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Description</w:t>
            </w:r>
          </w:p>
        </w:tc>
        <w:tc>
          <w:tcPr>
            <w:tcW w:type="dxa" w:w="26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Examples</w:t>
            </w:r>
          </w:p>
        </w:tc>
        <w:tc>
          <w:tcPr>
            <w:tcW w:type="dxa" w:w="14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Target Response Time</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Critical</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Active compromise with confirmed impact to confidentiality, integrity, or availability of a critical system; ongoing data loss.</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Ransomware execution; confirmed data exfiltration; domain admin compromise</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&lt; 15 min</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High</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Active malicious activity with high potential impact, not yet confirmed as causing loss.</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Malware execution on an endpoint; successful web application exploit with code execution</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&lt; 1 hour</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Medium</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Suspicious activity consistent with an early-stage or contained attack technique.</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Reconnaissance/scanning; policy-violating but non-destructive activity; single failed exploit attempt</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&lt; 4 hours</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Low</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Anomalous but low-confidence activity, or a known benign finding kept for visibility.</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A single failed login; a narrowly-scoped detection rule match with no corroborating evidence</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&lt; 1 business day</w:t>
            </w:r>
          </w:p>
        </w:tc>
      </w:tr>
    </w:tbl>
    <w:p>
      <w:pPr>
        <w:pStyle w:val="Heading1"/>
        <w:spacing w:after="200" w:before="400"/>
      </w:pPr>
      <w:r>
        <w:t xml:space="preserve">5. Phase 1 — Preparation</w:t>
      </w:r>
    </w:p>
    <w:p>
      <w:pPr>
        <w:spacing w:after="160"/>
        <w:jc w:val="left"/>
      </w:pPr>
      <w:r>
        <w:rPr>
          <w:b w:val="false"/>
          <w:bCs w:val="false"/>
          <w:i w:val="false"/>
          <w:iCs w:val="false"/>
        </w:rPr>
        <w:t xml:space="preserve">Preparation is what makes the remaining phases executable under time pressure. It is reviewed on the cycle stated on the title page, and after every Critical or High incident.</w:t>
      </w:r>
    </w:p>
    <w:p>
      <w:pPr>
        <w:pStyle w:val="Heading2"/>
        <w:spacing w:after="140" w:before="280"/>
      </w:pPr>
      <w:r>
        <w:t xml:space="preserve">5.1 Asset and Log Source Inventory</w:t>
      </w:r>
    </w:p>
    <w:p>
      <w:pPr>
        <w:spacing w:after="160"/>
        <w:jc w:val="left"/>
      </w:pPr>
      <w:r>
        <w:rPr>
          <w:b w:val="false"/>
          <w:bCs w:val="false"/>
          <w:i w:val="false"/>
          <w:iCs w:val="false"/>
        </w:rPr>
        <w:t xml:space="preserve">Maintain a current inventory of: systems in scope, the log sources each one produces, where those logs are collected, and their retention period. An incident cannot be investigated using a log source no one knew existed.</w:t>
      </w:r>
    </w:p>
    <w:p>
      <w:pPr>
        <w:pStyle w:val="Heading2"/>
        <w:spacing w:after="140" w:before="280"/>
      </w:pPr>
      <w:r>
        <w:t xml:space="preserve">5.2 Authority and Escalation Thresholds</w:t>
      </w:r>
    </w:p>
    <w:p>
      <w:pPr>
        <w:spacing w:after="160"/>
        <w:jc w:val="left"/>
      </w:pPr>
      <w:r>
        <w:rPr>
          <w:b w:val="false"/>
          <w:bCs w:val="false"/>
          <w:i w:val="false"/>
          <w:iCs w:val="false"/>
        </w:rPr>
        <w:t xml:space="preserve">Define, in advance, which severity levels a Tier 1/Tier 2 analyst may act on without further approval, and which require Asset Owner or Incident Commander sign-off. As a default baseline (to be adjusted per organization risk appetite):</w:t>
      </w:r>
    </w:p>
    <w:p>
      <w:pPr>
        <w:pStyle w:val="ListParagraph"/>
        <w:numPr>
          <w:ilvl w:val="0"/>
          <w:numId w:val="2"/>
        </w:numPr>
        <w:spacing w:after="80"/>
      </w:pPr>
      <w:r>
        <w:t xml:space="preserve">Critical / High: Incident Response Lead may take immediate containment action (e.g., network isolation, credential revocation) without prior approval, notifying the Asset Owner within the same response window.</w:t>
      </w:r>
    </w:p>
    <w:p>
      <w:pPr>
        <w:pStyle w:val="ListParagraph"/>
        <w:numPr>
          <w:ilvl w:val="0"/>
          <w:numId w:val="2"/>
        </w:numPr>
        <w:spacing w:after="80"/>
      </w:pPr>
      <w:r>
        <w:t xml:space="preserve">Medium: Tier 1 analyst may apply pre-approved, reversible containment actions defined in a playbook; anything else requires Incident Response Lead approval.</w:t>
      </w:r>
    </w:p>
    <w:p>
      <w:pPr>
        <w:pStyle w:val="ListParagraph"/>
        <w:numPr>
          <w:ilvl w:val="0"/>
          <w:numId w:val="2"/>
        </w:numPr>
        <w:spacing w:after="80"/>
      </w:pPr>
      <w:r>
        <w:t xml:space="preserve">Low: Documented and monitored; no unilateral action beyond logging.</w:t>
      </w:r>
    </w:p>
    <w:p>
      <w:pPr>
        <w:pStyle w:val="Heading2"/>
        <w:spacing w:after="140" w:before="280"/>
      </w:pPr>
      <w:r>
        <w:t xml:space="preserve">5.3 Tooling and Access Readiness</w:t>
      </w:r>
    </w:p>
    <w:p>
      <w:pPr>
        <w:spacing w:after="160"/>
        <w:jc w:val="left"/>
      </w:pPr>
      <w:r>
        <w:rPr>
          <w:b w:val="false"/>
          <w:bCs w:val="false"/>
          <w:i w:val="false"/>
          <w:iCs w:val="false"/>
        </w:rPr>
        <w:t xml:space="preserve">Before any incident, confirm: response tooling is installed and its credentials/access are valid and not about to expire; every responder has the access they need already provisioned (not requested during the incident); and a rollback/reversal procedure exists for every containment action available (see Section 7.4).</w:t>
      </w:r>
    </w:p>
    <w:p>
      <w:pPr>
        <w:pStyle w:val="Heading2"/>
        <w:spacing w:after="140" w:before="280"/>
      </w:pPr>
      <w:r>
        <w:t xml:space="preserve">5.4 Communication Plan</w:t>
      </w:r>
    </w:p>
    <w:p>
      <w:pPr>
        <w:spacing w:after="160"/>
        <w:jc w:val="left"/>
      </w:pPr>
      <w:r>
        <w:rPr>
          <w:b w:val="false"/>
          <w:bCs w:val="false"/>
          <w:i w:val="false"/>
          <w:iCs w:val="false"/>
        </w:rPr>
        <w:t xml:space="preserve">Maintain a current contact list (internal responders, Asset Owners, management, and — once engaged — the external SOC provider's escalation contacts) with at least two channels per contact (e.g., phone and a messaging channel that does not depend on potentially-compromised email).</w:t>
      </w:r>
    </w:p>
    <w:p>
      <w:pPr>
        <w:pStyle w:val="Heading2"/>
        <w:spacing w:after="140" w:before="280"/>
      </w:pPr>
      <w:r>
        <w:t xml:space="preserve">5.5 Testing and Exercises</w:t>
      </w:r>
    </w:p>
    <w:p>
      <w:pPr>
        <w:spacing w:after="160"/>
        <w:jc w:val="left"/>
      </w:pPr>
      <w:r>
        <w:rPr>
          <w:b w:val="false"/>
          <w:bCs w:val="false"/>
          <w:i w:val="false"/>
          <w:iCs w:val="false"/>
        </w:rPr>
        <w:t xml:space="preserve">A process that has never been executed under pressure is not proven. At minimum:</w:t>
      </w:r>
    </w:p>
    <w:p>
      <w:pPr>
        <w:pStyle w:val="ListParagraph"/>
        <w:numPr>
          <w:ilvl w:val="0"/>
          <w:numId w:val="2"/>
        </w:numPr>
        <w:spacing w:after="80"/>
      </w:pPr>
      <w:r>
        <w:t xml:space="preserve">Run a tabletop exercise (a discussion-based walkthrough, no live systems touched) for one playbook per quarter, rotating through Annexes A, B, and C over the year.</w:t>
      </w:r>
    </w:p>
    <w:p>
      <w:pPr>
        <w:pStyle w:val="ListParagraph"/>
        <w:numPr>
          <w:ilvl w:val="0"/>
          <w:numId w:val="2"/>
        </w:numPr>
        <w:spacing w:after="80"/>
      </w:pPr>
      <w:r>
        <w:t xml:space="preserve">Run one full simulated incident annually, using live test systems, that exercises detection through recovery end-to-end, including an unannounced element to test genuine response time rather than a rehearsed one.</w:t>
      </w:r>
    </w:p>
    <w:p>
      <w:pPr>
        <w:pStyle w:val="ListParagraph"/>
        <w:numPr>
          <w:ilvl w:val="0"/>
          <w:numId w:val="2"/>
        </w:numPr>
        <w:spacing w:after="80"/>
      </w:pPr>
      <w:r>
        <w:t xml:space="preserve">Record actual time-to-complete for each exercised step against the targets in the relevant annex. A step consistently missed in exercises will be missed in a real incident — treat this as a Preparation gap, not a training failure to note and forget.</w:t>
      </w:r>
    </w:p>
    <w:p>
      <w:pPr>
        <w:pStyle w:val="Heading2"/>
        <w:spacing w:after="140" w:before="280"/>
      </w:pPr>
      <w:r>
        <w:t xml:space="preserve">5.6 Data Classification and Severity Mapping</w:t>
      </w:r>
    </w:p>
    <w:p>
      <w:pPr>
        <w:spacing w:after="160"/>
        <w:jc w:val="left"/>
      </w:pPr>
      <w:r>
        <w:rPr>
          <w:b w:val="false"/>
          <w:bCs w:val="false"/>
          <w:i w:val="false"/>
          <w:iCs w:val="false"/>
        </w:rPr>
        <w:t xml:space="preserve">Severity in Section 4 is driven partly by asset criticality, which in turn depends on what data or function the asset holds. Maintain a data classification scheme (Critical / Confidential / Internal / Public, or the organization's equivalent existing scheme) and ensure the asset inventory in Section 5.1 records each asset's classification. An incident on an asset classified Critical or Confidential should default one severity level higher than the same technical finding on an Internal or Public asset, unless a specific reason justifies otherwise — record that reason in the ticket when it applies.</w:t>
      </w:r>
    </w:p>
    <w:p>
      <w:pPr>
        <w:pStyle w:val="Heading2"/>
        <w:spacing w:after="140" w:before="280"/>
      </w:pPr>
      <w:r>
        <w:t xml:space="preserve">5.7 Homologation and Regulatory Audit Readiness</w:t>
      </w:r>
    </w:p>
    <w:p>
      <w:pPr>
        <w:spacing w:after="160"/>
        <w:jc w:val="left"/>
      </w:pPr>
      <w:r>
        <w:rPr>
          <w:b w:val="false"/>
          <w:bCs w:val="false"/>
          <w:i w:val="false"/>
          <w:iCs w:val="false"/>
        </w:rPr>
        <w:t xml:space="preserve">Systems within the organization's DGSSI homologation scope must be homologated (formally authorized) before being placed into production, per Loi 05-20/DNSSI. Maintain, as part of the asset inventory (Section 5.1), a record of which systems fall under this requirement, their current homologation status, and its expiry/renewal date. A system whose homologation has lapsed is treated as a Preparation gap requiring RSSI attention, not something to notice only when an incident occurs on it.</w:t>
      </w:r>
    </w:p>
    <w:p>
      <w:pPr>
        <w:pStyle w:val="Heading1"/>
        <w:spacing w:after="200" w:before="400"/>
      </w:pPr>
      <w:r>
        <w:t xml:space="preserve">6. Phase 2 — Detection and Analysis</w:t>
      </w:r>
    </w:p>
    <w:p>
      <w:pPr>
        <w:pStyle w:val="Heading2"/>
        <w:spacing w:after="140" w:before="280"/>
      </w:pPr>
      <w:r>
        <w:t xml:space="preserve">6.1 From Event to Incident</w:t>
      </w:r>
    </w:p>
    <w:p>
      <w:pPr>
        <w:spacing w:after="160"/>
        <w:jc w:val="left"/>
      </w:pPr>
      <w:r>
        <w:rPr>
          <w:b w:val="false"/>
          <w:bCs w:val="false"/>
          <w:i w:val="false"/>
          <w:iCs w:val="false"/>
        </w:rPr>
        <w:t xml:space="preserve">Raw alerts are not incidents. An event is escalated to an incident once an analyst confirms it represents genuine malicious or policy-violating activity, based on: the specificity of the detection, corroborating evidence from a second, independent source where available, and the plausibility of the activity given the asset's normal behavior.</w:t>
      </w:r>
    </w:p>
    <w:p>
      <w:pPr>
        <w:spacing w:after="160"/>
        <w:jc w:val="left"/>
      </w:pPr>
      <w:r>
        <w:rPr>
          <w:b w:val="false"/>
          <w:bCs w:val="false"/>
          <w:i w:val="false"/>
          <w:iCs w:val="false"/>
        </w:rPr>
        <w:t xml:space="preserve">Correlating multiple related low-confidence events into a single higher-confidence incident (rather than treating each alert in isolation) is strongly preferred wherever the detection platform supports it — it reduces both false positives and analyst fatigue, and produces a clearer timeline for the Post-Incident phase.</w:t>
      </w:r>
    </w:p>
    <w:p>
      <w:pPr>
        <w:pStyle w:val="Heading2"/>
        <w:spacing w:after="140" w:before="280"/>
      </w:pPr>
      <w:r>
        <w:t xml:space="preserve">6.2 Triage Checklist</w:t>
      </w:r>
    </w:p>
    <w:p>
      <w:pPr>
        <w:pStyle w:val="ListParagraph"/>
        <w:numPr>
          <w:ilvl w:val="0"/>
          <w:numId w:val="3"/>
        </w:numPr>
        <w:spacing w:after="80"/>
      </w:pPr>
      <w:r>
        <w:t xml:space="preserve">Confirm the finding is not a known false positive or an authorized activity (e.g., scheduled penetration test, maintenance window).</w:t>
      </w:r>
    </w:p>
    <w:p>
      <w:pPr>
        <w:pStyle w:val="ListParagraph"/>
        <w:numPr>
          <w:ilvl w:val="0"/>
          <w:numId w:val="3"/>
        </w:numPr>
        <w:spacing w:after="80"/>
      </w:pPr>
      <w:r>
        <w:t xml:space="preserve">Identify the affected asset(s), account(s), and, where applicable, the external IP address(es) or indicator(s) involved.</w:t>
      </w:r>
    </w:p>
    <w:p>
      <w:pPr>
        <w:pStyle w:val="ListParagraph"/>
        <w:numPr>
          <w:ilvl w:val="0"/>
          <w:numId w:val="3"/>
        </w:numPr>
        <w:spacing w:after="80"/>
      </w:pPr>
      <w:r>
        <w:t xml:space="preserve">Assign a severity level per Section 4.</w:t>
      </w:r>
    </w:p>
    <w:p>
      <w:pPr>
        <w:pStyle w:val="ListParagraph"/>
        <w:numPr>
          <w:ilvl w:val="0"/>
          <w:numId w:val="3"/>
        </w:numPr>
        <w:spacing w:after="80"/>
      </w:pPr>
      <w:r>
        <w:t xml:space="preserve">Record the incident in the tracking system with a timestamp — this timestamp is the basis for MTTD measurement.</w:t>
      </w:r>
    </w:p>
    <w:p>
      <w:pPr>
        <w:pStyle w:val="ListParagraph"/>
        <w:numPr>
          <w:ilvl w:val="0"/>
          <w:numId w:val="3"/>
        </w:numPr>
        <w:spacing w:after="80"/>
      </w:pPr>
      <w:r>
        <w:t xml:space="preserve">Notify the roles required by the assigned severity level (Section 5.2).</w:t>
      </w:r>
    </w:p>
    <w:p>
      <w:pPr>
        <w:pStyle w:val="Heading2"/>
        <w:spacing w:after="140" w:before="280"/>
      </w:pPr>
      <w:r>
        <w:t xml:space="preserve">6.3 Evidence Handling and Chain of Custody</w:t>
      </w:r>
    </w:p>
    <w:p>
      <w:pPr>
        <w:spacing w:after="160"/>
        <w:jc w:val="left"/>
      </w:pPr>
      <w:r>
        <w:rPr>
          <w:b w:val="false"/>
          <w:bCs w:val="false"/>
          <w:i w:val="false"/>
          <w:iCs w:val="false"/>
        </w:rPr>
        <w:t xml:space="preserve">Preserve original log data and any artifacts before taking action that could alter or destroy them (for example, clearing a log to "clean up" before it has been exported is a documented, avoidable mistake). Where feasible, take a forensic copy or export before remediation begins, not after.</w:t>
      </w:r>
    </w:p>
    <w:p>
      <w:pPr>
        <w:spacing w:after="160"/>
        <w:jc w:val="left"/>
      </w:pPr>
      <w:r>
        <w:rPr>
          <w:b w:val="false"/>
          <w:bCs w:val="false"/>
          <w:i w:val="false"/>
          <w:iCs w:val="false"/>
        </w:rPr>
        <w:t xml:space="preserve">For any incident classified High or Critical, or any incident that may result in disciplinary, legal, or law-enforcement action, maintain a chain-of-custody record for every piece of evidence collected. This record must travel with the evidence and be updated every time it changes hands or location — a gap in the record is treated as a potential integrity failure of the evidence itself.</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25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Field</w:t>
            </w:r>
          </w:p>
        </w:tc>
        <w:tc>
          <w:tcPr>
            <w:tcW w:type="dxa" w:w="70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Recorded As</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Item description</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What was collected (e.g., disk image, log export, memory dump) and from which asset.</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Collected by</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Name and role of the person who collected it.</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Date/time collected</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Timestamp, including timezone.</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Collection method</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Tool and method used (e.g., write-blocked disk image via …), so integrity can be assessed later.</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Integrity check</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A cryptographic hash (e.g., SHA256) of the evidence taken at collection time, to detect any later alteration.</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Storage location</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Where the evidence is stored (physical or logical), and its access-control setting.</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Transfers</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Every instance of the evidence being handed to another person or system: to whom, when, and why — each logged as a new row.</w:t>
            </w:r>
          </w:p>
        </w:tc>
      </w:tr>
    </w:tbl>
    <w:p>
      <w:pPr>
        <w:pStyle w:val="Heading1"/>
        <w:spacing w:after="200" w:before="400"/>
      </w:pPr>
      <w:r>
        <w:t xml:space="preserve">7. Phase 3 — Containment, Eradication, and Recovery</w:t>
      </w:r>
    </w:p>
    <w:p>
      <w:pPr>
        <w:pStyle w:val="Heading2"/>
        <w:spacing w:after="140" w:before="280"/>
      </w:pPr>
      <w:r>
        <w:t xml:space="preserve">7.1 Containment Strategy Selection</w:t>
      </w:r>
    </w:p>
    <w:p>
      <w:pPr>
        <w:spacing w:after="160"/>
        <w:jc w:val="left"/>
      </w:pPr>
      <w:r>
        <w:rPr>
          <w:b w:val="false"/>
          <w:bCs w:val="false"/>
          <w:i w:val="false"/>
          <w:iCs w:val="false"/>
        </w:rPr>
        <w:t xml:space="preserve">Choose a containment approach appropriate to the incident's severity and the asset's business criticality. Common options, roughly ordered from least to most disruptive:</w:t>
      </w:r>
    </w:p>
    <w:p>
      <w:pPr>
        <w:pStyle w:val="ListParagraph"/>
        <w:numPr>
          <w:ilvl w:val="0"/>
          <w:numId w:val="2"/>
        </w:numPr>
        <w:spacing w:after="80"/>
      </w:pPr>
      <w:r>
        <w:t xml:space="preserve">Enhanced monitoring only (for Low severity, or while gathering more evidence)</w:t>
      </w:r>
    </w:p>
    <w:p>
      <w:pPr>
        <w:pStyle w:val="ListParagraph"/>
        <w:numPr>
          <w:ilvl w:val="0"/>
          <w:numId w:val="2"/>
        </w:numPr>
        <w:spacing w:after="80"/>
      </w:pPr>
      <w:r>
        <w:t xml:space="preserve">Network-level containment: block a malicious IP/domain at the perimeter, without touching the affected host</w:t>
      </w:r>
    </w:p>
    <w:p>
      <w:pPr>
        <w:pStyle w:val="ListParagraph"/>
        <w:numPr>
          <w:ilvl w:val="0"/>
          <w:numId w:val="2"/>
        </w:numPr>
        <w:spacing w:after="80"/>
      </w:pPr>
      <w:r>
        <w:t xml:space="preserve">Host-level containment: terminate a malicious process, disable a compromised account, or isolate the host from the network</w:t>
      </w:r>
    </w:p>
    <w:p>
      <w:pPr>
        <w:pStyle w:val="ListParagraph"/>
        <w:numPr>
          <w:ilvl w:val="0"/>
          <w:numId w:val="2"/>
        </w:numPr>
        <w:spacing w:after="80"/>
      </w:pPr>
      <w:r>
        <w:t xml:space="preserve">Full isolation or shutdown (for Critical incidents where continued operation risks further loss)</w:t>
      </w:r>
    </w:p>
    <w:p>
      <w:pPr>
        <w:spacing w:after="160"/>
        <w:jc w:val="left"/>
      </w:pPr>
      <w:r>
        <w:rPr>
          <w:b w:val="false"/>
          <w:bCs w:val="false"/>
          <w:i w:val="false"/>
          <w:iCs w:val="false"/>
        </w:rPr>
        <w:t xml:space="preserve">Prefer the least disruptive option that genuinely stops the activity; escalate to a more disruptive option only if the lesser one fails or the severity does not permit the delay.</w:t>
      </w:r>
    </w:p>
    <w:p>
      <w:pPr>
        <w:pStyle w:val="Heading2"/>
        <w:spacing w:after="140" w:before="280"/>
      </w:pPr>
      <w:r>
        <w:t xml:space="preserve">7.2 Automated vs. Manual Response</w:t>
      </w:r>
    </w:p>
    <w:p>
      <w:pPr>
        <w:spacing w:after="160"/>
        <w:jc w:val="left"/>
      </w:pPr>
      <w:r>
        <w:rPr>
          <w:b w:val="false"/>
          <w:bCs w:val="false"/>
          <w:i w:val="false"/>
          <w:iCs w:val="false"/>
        </w:rPr>
        <w:t xml:space="preserve">Where automated response capability exists (e.g., an orchestration tool that can block an IP or kill a process on command), it should be used to reduce response time for well-understood, low-ambiguity scenarios, subject to the authority thresholds in Section 5.2. Automated actions must still be logged and must still be reversible — automation should not be a shortcut around the audit and verification requirements below.</w:t>
      </w:r>
    </w:p>
    <w:p>
      <w:pPr>
        <w:spacing w:after="160"/>
        <w:jc w:val="left"/>
      </w:pPr>
      <w:r>
        <w:rPr>
          <w:b w:val="false"/>
          <w:bCs w:val="false"/>
          <w:i w:val="false"/>
          <w:iCs w:val="false"/>
        </w:rPr>
        <w:t xml:space="preserve">This document's playbooks (Annexes A–C) are written for a human analyst to read and execute directly. If the organization adopts a SOAR (Security Orchestration, Automation and Response) platform, that platform's automation workflows should be built by translating the relevant steps below into the platform's own format — this document remains the source of truth that automation is built from and validated against, not a document that automation replaces. Whoever owns that translation (typically an Automation Engineer or the SOC provider's engineering function) is responsible for keeping the automated workflow in sync whenever this document's steps change.</w:t>
      </w:r>
    </w:p>
    <w:p>
      <w:pPr>
        <w:pStyle w:val="Heading2"/>
        <w:spacing w:after="140" w:before="280"/>
      </w:pPr>
      <w:r>
        <w:t xml:space="preserve">7.3 Verification</w:t>
      </w:r>
    </w:p>
    <w:p>
      <w:pPr>
        <w:spacing w:after="160"/>
        <w:jc w:val="left"/>
      </w:pPr>
      <w:r>
        <w:rPr>
          <w:b w:val="false"/>
          <w:bCs w:val="false"/>
          <w:i w:val="false"/>
          <w:iCs w:val="false"/>
        </w:rPr>
        <w:t xml:space="preserve">Every containment action must be verified to have actually taken effect, not merely assumed to have worked because the tool reported success. Verification should use an independent method from the action itself — for example, confirming a network block by attempting the blocked traffic and observing it fail, rather than trusting only the firewall API's response.</w:t>
      </w:r>
    </w:p>
    <w:p>
      <w:pPr>
        <w:pStyle w:val="Heading2"/>
        <w:spacing w:after="140" w:before="280"/>
      </w:pPr>
      <w:r>
        <w:t xml:space="preserve">7.4 Reversal</w:t>
      </w:r>
    </w:p>
    <w:p>
      <w:pPr>
        <w:spacing w:after="160"/>
        <w:jc w:val="left"/>
      </w:pPr>
      <w:r>
        <w:rPr>
          <w:b w:val="false"/>
          <w:bCs w:val="false"/>
          <w:i w:val="false"/>
          <w:iCs w:val="false"/>
        </w:rPr>
        <w:t xml:space="preserve">Every containment action must have a documented, tested reversal procedure, and reversal must itself be verified (e.g., confirming a previously-blocked address can communicate again once legitimately unblocked). An action that cannot be safely undone should not be used as a first-line containment measure.</w:t>
      </w:r>
    </w:p>
    <w:p>
      <w:pPr>
        <w:pStyle w:val="Heading2"/>
        <w:spacing w:after="140" w:before="280"/>
      </w:pPr>
      <w:r>
        <w:t xml:space="preserve">7.5 Eradication and Recovery</w:t>
      </w:r>
    </w:p>
    <w:p>
      <w:pPr>
        <w:spacing w:after="160"/>
        <w:jc w:val="left"/>
      </w:pPr>
      <w:r>
        <w:rPr>
          <w:b w:val="false"/>
          <w:bCs w:val="false"/>
          <w:i w:val="false"/>
          <w:iCs w:val="false"/>
        </w:rPr>
        <w:t xml:space="preserve">Once contained, remove the root cause (malware, unauthorized access, exploited vulnerability) and restore affected systems from a known-good state where possible. Do not return a system to production until the root cause is confirmed removed — restoring a compromised system without eradication typically results in reinfection.</w:t>
      </w:r>
    </w:p>
    <w:p>
      <w:pPr>
        <w:pStyle w:val="Heading1"/>
        <w:spacing w:after="200" w:before="400"/>
      </w:pPr>
      <w:r>
        <w:t xml:space="preserve">8. Phase 4 — Post-Incident Activity</w:t>
      </w:r>
    </w:p>
    <w:p>
      <w:pPr>
        <w:pStyle w:val="Heading2"/>
        <w:spacing w:after="140" w:before="280"/>
      </w:pPr>
      <w:r>
        <w:t xml:space="preserve">8.1 Audit Trail</w:t>
      </w:r>
    </w:p>
    <w:p>
      <w:pPr>
        <w:spacing w:after="160"/>
        <w:jc w:val="left"/>
      </w:pPr>
      <w:r>
        <w:rPr>
          <w:b w:val="false"/>
          <w:bCs w:val="false"/>
          <w:i w:val="false"/>
          <w:iCs w:val="false"/>
        </w:rPr>
        <w:t xml:space="preserve">Every incident must leave a complete record: the original detection, the timeline of analysis and actions taken, who authorized each action, and the outcome. This record is the primary evidence used in the review below, and may also be required for regulatory or legal purposes depending on the incident type.</w:t>
      </w:r>
    </w:p>
    <w:p>
      <w:pPr>
        <w:pStyle w:val="Heading2"/>
        <w:spacing w:after="140" w:before="280"/>
      </w:pPr>
      <w:r>
        <w:t xml:space="preserve">8.2 Post-Incident Review</w:t>
      </w:r>
    </w:p>
    <w:p>
      <w:pPr>
        <w:spacing w:after="160"/>
        <w:jc w:val="left"/>
      </w:pPr>
      <w:r>
        <w:rPr>
          <w:b w:val="false"/>
          <w:bCs w:val="false"/>
          <w:i w:val="false"/>
          <w:iCs w:val="false"/>
        </w:rPr>
        <w:t xml:space="preserve">For every Medium-severity incident and above, conduct a brief review within 5 business days covering: what worked, what didn't, whether the severity classification and response time targets were realistic, and whether any preparation gap (Section 5) contributed to delay. This is a process improvement exercise, not a personnel evaluation — framing it otherwise discourages honest reporting.</w:t>
      </w:r>
    </w:p>
    <w:p>
      <w:pPr>
        <w:pStyle w:val="Heading2"/>
        <w:spacing w:after="140" w:before="280"/>
      </w:pPr>
      <w:r>
        <w:t xml:space="preserve">8.3 Metrics</w:t>
      </w:r>
    </w:p>
    <w:p>
      <w:pPr>
        <w:spacing w:after="160"/>
        <w:jc w:val="left"/>
      </w:pPr>
      <w:r>
        <w:rPr>
          <w:b w:val="false"/>
          <w:bCs w:val="false"/>
          <w:i w:val="false"/>
          <w:iCs w:val="false"/>
        </w:rPr>
        <w:t xml:space="preserve">Track the following over time, both per-incident and in aggregate:</w:t>
      </w:r>
    </w:p>
    <w:p>
      <w:pPr>
        <w:pStyle w:val="ListParagraph"/>
        <w:numPr>
          <w:ilvl w:val="0"/>
          <w:numId w:val="2"/>
        </w:numPr>
        <w:spacing w:after="80"/>
      </w:pPr>
      <w:r>
        <w:t xml:space="preserve">MTTD (Mean Time to Detect): time from the activity's actual start to its first detection.</w:t>
      </w:r>
    </w:p>
    <w:p>
      <w:pPr>
        <w:pStyle w:val="ListParagraph"/>
        <w:numPr>
          <w:ilvl w:val="0"/>
          <w:numId w:val="2"/>
        </w:numPr>
        <w:spacing w:after="80"/>
      </w:pPr>
      <w:r>
        <w:t xml:space="preserve">MTTR (Mean Time to Respond): time from detection to effective containment.</w:t>
      </w:r>
    </w:p>
    <w:p>
      <w:pPr>
        <w:pStyle w:val="ListParagraph"/>
        <w:numPr>
          <w:ilvl w:val="0"/>
          <w:numId w:val="2"/>
        </w:numPr>
        <w:spacing w:after="80"/>
      </w:pPr>
      <w:r>
        <w:t xml:space="preserve">Recurrence rate: incidents of the same root cause reoccurring after a prior closure.</w:t>
      </w:r>
    </w:p>
    <w:p>
      <w:pPr>
        <w:pStyle w:val="ListParagraph"/>
        <w:numPr>
          <w:ilvl w:val="0"/>
          <w:numId w:val="2"/>
        </w:numPr>
        <w:spacing w:after="80"/>
      </w:pPr>
      <w:r>
        <w:t xml:space="preserve">False positive rate: proportion of triaged events that did not represent genuine incidents.</w:t>
      </w:r>
    </w:p>
    <w:p>
      <w:pPr>
        <w:spacing w:after="160"/>
        <w:jc w:val="left"/>
      </w:pPr>
      <w:r>
        <w:rPr>
          <w:b w:val="false"/>
          <w:bCs w:val="false"/>
          <w:i w:val="false"/>
          <w:iCs w:val="false"/>
        </w:rPr>
        <w:t xml:space="preserve">These metrics should inform the Preparation phase of the next cycle — a recurring root cause or a consistently missed response-time target is a signal to revisit tooling, staffing, or the playbook itself, not just to try harder next time.</w:t>
      </w:r>
    </w:p>
    <w:p>
      <w:pPr>
        <w:pStyle w:val="Heading1"/>
        <w:spacing w:after="200" w:before="400"/>
      </w:pPr>
      <w:r>
        <w:t xml:space="preserve">9. Transition to an External SOC Provider</w:t>
      </w:r>
    </w:p>
    <w:p>
      <w:pPr>
        <w:pStyle w:val="Heading2"/>
        <w:spacing w:after="140" w:before="280"/>
      </w:pPr>
      <w:r>
        <w:t xml:space="preserve">9.1 Handoff Readiness Checklist</w:t>
      </w:r>
    </w:p>
    <w:p>
      <w:pPr>
        <w:spacing w:after="160"/>
        <w:jc w:val="left"/>
      </w:pPr>
      <w:r>
        <w:rPr>
          <w:b w:val="false"/>
          <w:bCs w:val="false"/>
          <w:i w:val="false"/>
          <w:iCs w:val="false"/>
        </w:rPr>
        <w:t xml:space="preserve">When operational, the external SOC assumes the Tier 1/Tier 2 functions described in Section 3, operating against this same process and the severity thresholds in Section 4. Before go-live, confirm:</w:t>
      </w:r>
    </w:p>
    <w:p>
      <w:pPr>
        <w:pStyle w:val="ListParagraph"/>
        <w:numPr>
          <w:ilvl w:val="0"/>
          <w:numId w:val="2"/>
        </w:numPr>
        <w:spacing w:after="80"/>
      </w:pPr>
      <w:r>
        <w:t xml:space="preserve">The provider has read access to every log source listed in the asset inventory (Section 5.1).</w:t>
      </w:r>
    </w:p>
    <w:p>
      <w:pPr>
        <w:pStyle w:val="ListParagraph"/>
        <w:numPr>
          <w:ilvl w:val="0"/>
          <w:numId w:val="2"/>
        </w:numPr>
        <w:spacing w:after="80"/>
      </w:pPr>
      <w:r>
        <w:t xml:space="preserve">The escalation contact list (Section 5.4) includes the provider's on-call channel, and the provider's own escalation list includes the organization's internal contacts.</w:t>
      </w:r>
    </w:p>
    <w:p>
      <w:pPr>
        <w:pStyle w:val="ListParagraph"/>
        <w:numPr>
          <w:ilvl w:val="0"/>
          <w:numId w:val="2"/>
        </w:numPr>
        <w:spacing w:after="80"/>
      </w:pPr>
      <w:r>
        <w:t xml:space="preserve">The authority thresholds in Section 5.2 are reflected in the Service Level Agreement (Section 9.2), including which actions the provider may take unilaterally versus which require internal sign-off.</w:t>
      </w:r>
    </w:p>
    <w:p>
      <w:pPr>
        <w:pStyle w:val="ListParagraph"/>
        <w:numPr>
          <w:ilvl w:val="0"/>
          <w:numId w:val="2"/>
        </w:numPr>
        <w:spacing w:after="80"/>
      </w:pPr>
      <w:r>
        <w:t xml:space="preserve">A joint test incident is run before full handover, to validate the handoff in practice rather than on paper only.</w:t>
      </w:r>
    </w:p>
    <w:p>
      <w:pPr>
        <w:pStyle w:val="Heading2"/>
        <w:spacing w:after="140" w:before="280"/>
      </w:pPr>
      <w:r>
        <w:t xml:space="preserve">9.2 Service Level Agreement Baseline</w:t>
      </w:r>
    </w:p>
    <w:p>
      <w:pPr>
        <w:spacing w:after="160"/>
        <w:jc w:val="left"/>
      </w:pPr>
      <w:r>
        <w:rPr>
          <w:b w:val="false"/>
          <w:bCs w:val="false"/>
          <w:i w:val="false"/>
          <w:iCs w:val="false"/>
        </w:rPr>
        <w:t xml:space="preserve">The figures below are a starting baseline for SLA negotiation with a provider, aligned to Section 4's severity targets. Final contractual figures, penalty clauses, and reporting format must be agreed and documented in the actual signed SLA — the table below is not itself a substitute for that contract.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rPr>
        <w:tc>
          <w:tcPr>
            <w:tcW w:type="dxa" w:w="14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Severity</w:t>
            </w:r>
          </w:p>
        </w:tc>
        <w:tc>
          <w:tcPr>
            <w:tcW w:type="dxa" w:w="22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Acknowledgment</w:t>
            </w:r>
          </w:p>
        </w:tc>
        <w:tc>
          <w:tcPr>
            <w:tcW w:type="dxa" w:w="24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Status Update Cadence</w:t>
            </w:r>
          </w:p>
        </w:tc>
        <w:tc>
          <w:tcPr>
            <w:tcW w:type="dxa" w:w="19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Target Containment</w:t>
            </w:r>
          </w:p>
        </w:tc>
        <w:tc>
          <w:tcPr>
            <w:tcW w:type="dxa" w:w="16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Reporting</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Critical</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&lt; 15 min</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Every 30 min until contained</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&lt; 1 hour</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Written report within 24h</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High</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&lt; 30 min</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Every 1 hour until contained</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&lt; 4 hours</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Written report within 48h</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Medium</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&lt; 1 hour</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Every 4 hours</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&lt; 1 business day</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Included in weekly summary</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Low</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&lt; 1 business day</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On closure</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Best effort</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Included in monthly summary</w:t>
            </w:r>
          </w:p>
        </w:tc>
      </w:tr>
    </w:tbl>
    <w:p>
      <w:pPr>
        <w:pStyle w:val="Heading1"/>
        <w:spacing w:after="200" w:before="400"/>
      </w:pPr>
      <w:r>
        <w:t xml:space="preserve">10. Shift Handover Procedure</w:t>
      </w:r>
    </w:p>
    <w:p>
      <w:pPr>
        <w:spacing w:after="160"/>
        <w:jc w:val="left"/>
      </w:pPr>
      <w:r>
        <w:rPr>
          <w:b w:val="false"/>
          <w:bCs w:val="false"/>
          <w:i w:val="false"/>
          <w:iCs w:val="false"/>
        </w:rPr>
        <w:t xml:space="preserve">For any incident still open at the end of a shift — whether the handover is between internal shifts or between the internal team and the external SOC — the outgoing analyst must complete the following before leaving:</w:t>
      </w:r>
    </w:p>
    <w:p>
      <w:pPr>
        <w:pStyle w:val="ListParagraph"/>
        <w:numPr>
          <w:ilvl w:val="0"/>
          <w:numId w:val="2"/>
        </w:numPr>
        <w:spacing w:after="80"/>
      </w:pPr>
      <w:r>
        <w:t xml:space="preserve">Update the incident ticket with the current status, the last action taken, and its result, so the record itself — not just verbal handover — reflects the true current state.</w:t>
      </w:r>
    </w:p>
    <w:p>
      <w:pPr>
        <w:pStyle w:val="ListParagraph"/>
        <w:numPr>
          <w:ilvl w:val="0"/>
          <w:numId w:val="2"/>
        </w:numPr>
        <w:spacing w:after="80"/>
      </w:pPr>
      <w:r>
        <w:t xml:space="preserve">State explicitly what the next action is and which playbook step it corresponds to, so the incoming analyst does not have to re-derive where the response left off.</w:t>
      </w:r>
    </w:p>
    <w:p>
      <w:pPr>
        <w:pStyle w:val="ListParagraph"/>
        <w:numPr>
          <w:ilvl w:val="0"/>
          <w:numId w:val="2"/>
        </w:numPr>
        <w:spacing w:after="80"/>
      </w:pPr>
      <w:r>
        <w:t xml:space="preserve">Conduct a live handover (call or equivalent) for any incident classified High or Critical — a ticket update alone is not sufficient for these; the incoming analyst must verbally confirm they understand the current state before the outgoing analyst signs off.</w:t>
      </w:r>
    </w:p>
    <w:p>
      <w:pPr>
        <w:pStyle w:val="ListParagraph"/>
        <w:numPr>
          <w:ilvl w:val="0"/>
          <w:numId w:val="2"/>
        </w:numPr>
        <w:spacing w:after="80"/>
      </w:pPr>
      <w:r>
        <w:t xml:space="preserve">Record the handover itself in the ticket: who handed off, who received it, and the time.</w:t>
      </w:r>
    </w:p>
    <w:p>
      <w:pPr>
        <w:spacing w:after="160"/>
        <w:jc w:val="left"/>
      </w:pPr>
      <w:r>
        <w:rPr>
          <w:b w:val="false"/>
          <w:bCs w:val="false"/>
          <w:i w:val="false"/>
          <w:iCs w:val="false"/>
        </w:rPr>
        <w:t xml:space="preserve">An incident must never be left in a state where the current owner is ambiguous. If the incoming shift does not have a qualified analyst available to receive a High or Critical handover, the outgoing analyst escalates to the Incident Commander before ending their shift, rather than leaving the incident unowned.</w:t>
      </w:r>
    </w:p>
    <w:p>
      <w:pPr>
        <w:pStyle w:val="Heading1"/>
        <w:spacing w:after="200" w:before="400"/>
      </w:pPr>
      <w:r>
        <w:t xml:space="preserve">11. Legal and Regulatory Notification</w:t>
      </w:r>
    </w:p>
    <w:p>
      <w:pPr>
        <w:spacing w:after="160"/>
        <w:jc w:val="left"/>
      </w:pPr>
      <w:r>
        <w:rPr>
          <w:b w:val="false"/>
          <w:bCs w:val="false"/>
          <w:i w:val="false"/>
          <w:iCs w:val="false"/>
        </w:rPr>
        <w:t xml:space="preserve">The organization operates under Moroccan law and holds a relationship with DGSSI (Direction Générale de la Sécurité des Systèmes d'Information). Two distinct legal tracks apply, governed by different laws and different regulators — they must not be conflated, since they have different triggers, different contacts, and (where known) different timelines.</w:t>
      </w:r>
    </w:p>
    <w:p>
      <w:pPr>
        <w:pStyle w:val="Heading2"/>
        <w:spacing w:after="140" w:before="280"/>
      </w:pPr>
      <w:r>
        <w:t xml:space="preserve">11.1 Cybersecurity Incident Declaration — DGSSI (Loi 05-20 / DNSSI)</w:t>
      </w:r>
    </w:p>
    <w:p>
      <w:pPr>
        <w:spacing w:after="160"/>
        <w:jc w:val="left"/>
      </w:pPr>
      <w:r>
        <w:rPr>
          <w:b w:val="false"/>
          <w:bCs w:val="false"/>
          <w:i w:val="false"/>
          <w:iCs w:val="false"/>
        </w:rPr>
        <w:t xml:space="preserve">Loi 05-20 and its technical implementation, the Directive Nationale de la Sécurité des Systèmes d'Information (DNSSI), require entities within its scope — state administrations, public establishments, and operators of infrastructures d'importance vitale (IIV), a category the organization's certification-authority role may place it within — to declare significant information-system security incidents to DGSSI, and to designate an RSSI as the official liaison for this purpose. In parallel, given the organization's role issuing electronic certificates, Loi 43-20 on electronic trust services is separately relevant and is also administered under DGSSI's remit.</w:t>
      </w:r>
    </w:p>
    <w:p>
      <w:pPr>
        <w:pStyle w:val="ListParagraph"/>
        <w:numPr>
          <w:ilvl w:val="0"/>
          <w:numId w:val="2"/>
        </w:numPr>
        <w:spacing w:after="80"/>
      </w:pPr>
      <w:r>
        <w:t xml:space="preserve">Trigger: any incident classified High or Critical under Section 4, and any incident affecting a system covered by the organization's DGSSI homologation dossier, is escalated to the RSSI for a declaration decision — regardless of whether the incident also involves personal data (see Section 11.2).</w:t>
      </w:r>
    </w:p>
    <w:p>
      <w:pPr>
        <w:pStyle w:val="ListParagraph"/>
        <w:numPr>
          <w:ilvl w:val="0"/>
          <w:numId w:val="2"/>
        </w:numPr>
        <w:spacing w:after="80"/>
      </w:pPr>
      <w:r>
        <w:t xml:space="preserve">Declaration channel: the RSSI declares to DGSSI (and, where applicable, coordinates with maCERT, DGSSI's national incident response coordination center) using the channel and format specified in the organization's homologation dossier.</w:t>
      </w:r>
    </w:p>
    <w:p>
      <w:pPr>
        <w:pStyle w:val="ListParagraph"/>
        <w:numPr>
          <w:ilvl w:val="0"/>
          <w:numId w:val="2"/>
        </w:numPr>
        <w:spacing w:after="80"/>
      </w:pPr>
      <w:r>
        <w:t xml:space="preserve">Timeline: DGSSI does not publish one universal fixed deadline applicable to every entity — the exact declaration deadline is set within the organization's specific homologation dossier and sectoral DNSSI implementation. This must be confirmed directly with the RSSI and kept current in this document's next revision once confirmed; do not assume a deadline that has not been explicitly verified.</w:t>
      </w:r>
    </w:p>
    <w:p>
      <w:pPr>
        <w:pStyle w:val="Heading2"/>
        <w:spacing w:after="140" w:before="280"/>
      </w:pPr>
      <w:r>
        <w:t xml:space="preserve">11.2 Personal Data Breach Notification — CNDP (Loi 09-08)</w:t>
      </w:r>
    </w:p>
    <w:p>
      <w:pPr>
        <w:spacing w:after="160"/>
        <w:jc w:val="left"/>
      </w:pPr>
      <w:r>
        <w:rPr>
          <w:b w:val="false"/>
          <w:bCs w:val="false"/>
          <w:i w:val="false"/>
          <w:iCs w:val="false"/>
        </w:rPr>
        <w:t xml:space="preserve">Loi 09-08, overseen by the Commission Nationale de contrôle de la protection des Données à caractère Personnel (CNDP), is a separate legal track that applies whenever an incident involves personal data, independent of whether it also triggers the DGSSI track above.</w:t>
      </w:r>
    </w:p>
    <w:p>
      <w:pPr>
        <w:pStyle w:val="ListParagraph"/>
        <w:numPr>
          <w:ilvl w:val="0"/>
          <w:numId w:val="2"/>
        </w:numPr>
        <w:spacing w:after="80"/>
      </w:pPr>
      <w:r>
        <w:t xml:space="preserve">Trigger: any incident confirmed to involve unauthorized access to, or exposure of, personal data (customer, employee, or certificate-subscriber personal data) is escalated to Legal/Compliance and the RSSI immediately.</w:t>
      </w:r>
    </w:p>
    <w:p>
      <w:pPr>
        <w:pStyle w:val="ListParagraph"/>
        <w:numPr>
          <w:ilvl w:val="0"/>
          <w:numId w:val="2"/>
        </w:numPr>
        <w:spacing w:after="80"/>
      </w:pPr>
      <w:r>
        <w:t xml:space="preserve">Timeline: a 72-hour notification window is commonly cited in current professional guidance on Loi 09-08 breach notification, comparable in spirit to the EU's GDPR — this document treats that figure as a working assumption, not a confirmed statutory citation, and the organization's Legal/Compliance function must verify the exact current wording of the obligation and confirm or correct this figure at the next review.</w:t>
      </w:r>
    </w:p>
    <w:p>
      <w:pPr>
        <w:pStyle w:val="ListParagraph"/>
        <w:numPr>
          <w:ilvl w:val="0"/>
          <w:numId w:val="2"/>
        </w:numPr>
        <w:spacing w:after="80"/>
      </w:pPr>
      <w:r>
        <w:t xml:space="preserve">Both tracks (11.1 and 11.2) may apply to the same incident simultaneously — running one does not exempt the other.</w:t>
      </w:r>
    </w:p>
    <w:p>
      <w:pPr>
        <w:pStyle w:val="Heading2"/>
        <w:spacing w:after="140" w:before="280"/>
      </w:pPr>
      <w:r>
        <w:t xml:space="preserve">11.3 Decision and Recording Process</w:t>
      </w:r>
    </w:p>
    <w:p>
      <w:pPr>
        <w:pStyle w:val="ListParagraph"/>
        <w:numPr>
          <w:ilvl w:val="0"/>
          <w:numId w:val="2"/>
        </w:numPr>
        <w:spacing w:after="80"/>
      </w:pPr>
      <w:r>
        <w:t xml:space="preserve">Step 1: Tier 1/Tier 2 identifies whether Section 11.1, Section 11.2, both, or neither apply, based on the incident's nature and the data/systems involved.</w:t>
      </w:r>
    </w:p>
    <w:p>
      <w:pPr>
        <w:pStyle w:val="ListParagraph"/>
        <w:numPr>
          <w:ilvl w:val="0"/>
          <w:numId w:val="2"/>
        </w:numPr>
        <w:spacing w:after="80"/>
      </w:pPr>
      <w:r>
        <w:t xml:space="preserve">Step 2: RSSI and/or Legal/Compliance confirms the applicable track(s), the exact current deadline, and the required declaration content.</w:t>
      </w:r>
    </w:p>
    <w:p>
      <w:pPr>
        <w:pStyle w:val="ListParagraph"/>
        <w:numPr>
          <w:ilvl w:val="0"/>
          <w:numId w:val="2"/>
        </w:numPr>
        <w:spacing w:after="80"/>
      </w:pPr>
      <w:r>
        <w:t xml:space="preserve">Step 3: the RSSI (for DGSSI) or Legal/Compliance (for CNDP) owns delivery of the actual declaration; the incident response team's role is to supply the factual technical timeline and scope needed, not to draft or send the regulatory notice itself.</w:t>
      </w:r>
    </w:p>
    <w:p>
      <w:pPr>
        <w:pStyle w:val="ListParagraph"/>
        <w:numPr>
          <w:ilvl w:val="0"/>
          <w:numId w:val="2"/>
        </w:numPr>
        <w:spacing w:after="80"/>
      </w:pPr>
      <w:r>
        <w:t xml:space="preserve">Step 4: the decision, the track(s) applied, and the actual submission time are recorded in the incident ticket, for audit purposes and for this document's own compliance evidence under ISO/IEC 27001 (see Annex E).</w:t>
      </w:r>
    </w:p>
    <w:p>
      <w:pPr>
        <w:spacing w:after="160"/>
        <w:jc w:val="left"/>
      </w:pPr>
      <w:r>
        <w:rPr>
          <w:b w:val="false"/>
          <w:bCs w:val="false"/>
          <w:i w:val="false"/>
          <w:iCs w:val="false"/>
        </w:rPr>
        <w:t xml:space="preserve">Every Critical incident, and any High incident touching personal data or a DGSSI-homologated system, must have an explicit “DGSSI declaration: yes/no/why” and “CNDP notification: yes/no/why” line in its Post-Incident Review (Section 8.2) — silence on either point is treated as an incomplete review.</w:t>
      </w:r>
    </w:p>
    <w:p>
      <w:pPr>
        <w:pStyle w:val="Heading1"/>
        <w:spacing w:after="200" w:before="400"/>
      </w:pPr>
      <w:r>
        <w:t xml:space="preserve">12. Technical Coverage Baseline</w:t>
      </w:r>
    </w:p>
    <w:p>
      <w:pPr>
        <w:spacing w:after="160"/>
        <w:jc w:val="left"/>
      </w:pPr>
      <w:r>
        <w:rPr>
          <w:b w:val="false"/>
          <w:bCs w:val="false"/>
          <w:i w:val="false"/>
          <w:iCs w:val="false"/>
        </w:rPr>
        <w:t xml:space="preserve">This process assumes a minimum level of underlying technical coverage; without it, the time targets throughout this document are not achievable regardless of how well the process itself is followed. These are baseline targets to be reviewed and adjusted to the organization's actual risk tolerance and resources — they are a floor, not a guarantee.</w:t>
      </w:r>
    </w:p>
    <w:p>
      <w:pPr>
        <w:pStyle w:val="Heading2"/>
        <w:spacing w:after="140" w:before="280"/>
      </w:pPr>
      <w:r>
        <w:t xml:space="preserve">12.1 Log Retention</w:t>
      </w:r>
    </w:p>
    <w:p>
      <w:pPr>
        <w:pStyle w:val="ListParagraph"/>
        <w:numPr>
          <w:ilvl w:val="0"/>
          <w:numId w:val="2"/>
        </w:numPr>
        <w:spacing w:after="80"/>
      </w:pPr>
      <w:r>
        <w:t xml:space="preserve">Security-relevant logs (authentication, endpoint telemetry, firewall/perimeter, application access logs) retained in actively-searchable storage for a minimum of 90 days.</w:t>
      </w:r>
    </w:p>
    <w:p>
      <w:pPr>
        <w:pStyle w:val="ListParagraph"/>
        <w:numPr>
          <w:ilvl w:val="0"/>
          <w:numId w:val="2"/>
        </w:numPr>
        <w:spacing w:after="80"/>
      </w:pPr>
      <w:r>
        <w:t xml:space="preserve">Extended retention (cold storage, minimum 1 year) for the same log categories, to support investigations that begin after the active-search window has passed.</w:t>
      </w:r>
    </w:p>
    <w:p>
      <w:pPr>
        <w:pStyle w:val="Heading2"/>
        <w:spacing w:after="140" w:before="280"/>
      </w:pPr>
      <w:r>
        <w:t xml:space="preserve">12.2 Detection Coverage</w:t>
      </w:r>
    </w:p>
    <w:p>
      <w:pPr>
        <w:pStyle w:val="ListParagraph"/>
        <w:numPr>
          <w:ilvl w:val="0"/>
          <w:numId w:val="2"/>
        </w:numPr>
        <w:spacing w:after="80"/>
      </w:pPr>
      <w:r>
        <w:t xml:space="preserve">Endpoint detection (EDR or equivalent) deployed on 100% of servers and a defined minimum percentage of workstations, tracked and reported against as a coverage metric — an untracked coverage gap is a blind spot the process cannot compensate for.</w:t>
      </w:r>
    </w:p>
    <w:p>
      <w:pPr>
        <w:pStyle w:val="ListParagraph"/>
        <w:numPr>
          <w:ilvl w:val="0"/>
          <w:numId w:val="2"/>
        </w:numPr>
        <w:spacing w:after="80"/>
      </w:pPr>
      <w:r>
        <w:t xml:space="preserve">Perimeter/network monitoring covering every network segment that carries traffic to or from a critical asset (per the classification in Section 5.6).</w:t>
      </w:r>
    </w:p>
    <w:p>
      <w:pPr>
        <w:pStyle w:val="Heading2"/>
        <w:spacing w:after="140" w:before="280"/>
      </w:pPr>
      <w:r>
        <w:t xml:space="preserve">12.3 Detection Engineering Standard</w:t>
      </w:r>
    </w:p>
    <w:p>
      <w:pPr>
        <w:pStyle w:val="ListParagraph"/>
        <w:numPr>
          <w:ilvl w:val="0"/>
          <w:numId w:val="2"/>
        </w:numPr>
        <w:spacing w:after="80"/>
      </w:pPr>
      <w:r>
        <w:t xml:space="preserve">Every new detection rule is mapped to at least one MITRE ATT&amp;CK technique before deployment, so coverage gaps and overlaps can be tracked systematically rather than ad hoc.</w:t>
      </w:r>
    </w:p>
    <w:p>
      <w:pPr>
        <w:pStyle w:val="ListParagraph"/>
        <w:numPr>
          <w:ilvl w:val="0"/>
          <w:numId w:val="2"/>
        </w:numPr>
        <w:spacing w:after="80"/>
      </w:pPr>
      <w:r>
        <w:t xml:space="preserve">Every new detection rule is tested against both a known-positive case (it fires when it should) and a representative known-negative case (it does not fire on normal activity) before being enabled in production.</w:t>
      </w:r>
    </w:p>
    <w:p>
      <w:pPr>
        <w:pStyle w:val="ListParagraph"/>
        <w:numPr>
          <w:ilvl w:val="0"/>
          <w:numId w:val="2"/>
        </w:numPr>
        <w:spacing w:after="80"/>
      </w:pPr>
      <w:r>
        <w:t xml:space="preserve">A detection rule generating a false-positive rate above an agreed threshold within its first two weeks in production is tuned or disabled, not left generating alert fatigue indefinitely.</w:t>
      </w:r>
    </w:p>
    <w:p>
      <w:pPr>
        <w:pStyle w:val="Heading2"/>
        <w:spacing w:after="140" w:before="280"/>
      </w:pPr>
      <w:r>
        <w:t xml:space="preserve">12.4 Backup and Recovery Standard</w:t>
      </w:r>
    </w:p>
    <w:p>
      <w:pPr>
        <w:pStyle w:val="ListParagraph"/>
        <w:numPr>
          <w:ilvl w:val="0"/>
          <w:numId w:val="2"/>
        </w:numPr>
        <w:spacing w:after="80"/>
      </w:pPr>
      <w:r>
        <w:t xml:space="preserve">Recovery Point Objective (RPO) and Recovery Time Objective (RTO) are defined per asset classification tier (Section 5.6) and recorded in the asset inventory — the eradication/recovery steps in Annexes A–C assume these figures exist and are met; if they are not yet defined for a given asset, that is itself a Preparation gap to raise, not something to discover mid-incident.</w:t>
      </w:r>
    </w:p>
    <w:p>
      <w:pPr>
        <w:pStyle w:val="ListParagraph"/>
        <w:numPr>
          <w:ilvl w:val="0"/>
          <w:numId w:val="2"/>
        </w:numPr>
        <w:spacing w:after="80"/>
      </w:pPr>
      <w:r>
        <w:t xml:space="preserve">Backup integrity (the ability to actually restore from a backup, not merely that a backup job completed) is tested on a defined cadence, per asset classification tier.</w:t>
      </w:r>
    </w:p>
    <w:p>
      <w:pPr>
        <w:pStyle w:val="Heading2"/>
        <w:spacing w:after="140" w:before="280"/>
      </w:pPr>
      <w:r>
        <w:t xml:space="preserve">12.5 External Regulatory Audits</w:t>
      </w:r>
    </w:p>
    <w:p>
      <w:pPr>
        <w:pStyle w:val="ListParagraph"/>
        <w:numPr>
          <w:ilvl w:val="0"/>
          <w:numId w:val="2"/>
        </w:numPr>
        <w:spacing w:after="80"/>
      </w:pPr>
      <w:r>
        <w:t xml:space="preserve">Systems within DGSSI homologation scope (Section 5.7) are audited on the cadence required by the applicable homologation dossier, by a PASSI-qualified provider (a security audit provider formally qualified by DGSSI) — an audit by a non-qualified provider does not satisfy this requirement.</w:t>
      </w:r>
    </w:p>
    <w:p>
      <w:pPr>
        <w:pStyle w:val="ListParagraph"/>
        <w:numPr>
          <w:ilvl w:val="0"/>
          <w:numId w:val="2"/>
        </w:numPr>
        <w:spacing w:after="80"/>
      </w:pPr>
      <w:r>
        <w:t xml:space="preserve">Findings from these audits are tracked to closure the same way an incident's root-cause action items are tracked (Section 8.2) — an open regulatory audit finding is a Preparation gap, not a separate, lower-priority backlog.</w:t>
      </w:r>
    </w:p>
    <w:p>
      <w:r>
        <w:br w:type="page"/>
      </w:r>
    </w:p>
    <w:p>
      <w:pPr>
        <w:pStyle w:val="Heading1"/>
        <w:spacing w:after="200" w:before="400"/>
      </w:pPr>
      <w:r>
        <w:t xml:space="preserve">Annex A — Malware Infection Response Playbook</w:t>
      </w:r>
    </w:p>
    <w:p>
      <w:pPr>
        <w:spacing w:after="160"/>
        <w:jc w:val="left"/>
      </w:pPr>
      <w:r>
        <w:rPr>
          <w:b w:val="false"/>
          <w:bCs w:val="false"/>
          <w:i w:val="false"/>
          <w:iCs w:val="false"/>
        </w:rPr>
        <w:t xml:space="preserve">This playbook is followed exactly as written from the moment its entry criteria are met. It assumes access to a SIEM/log platform, an EDR or antivirus console, an identity provider, and a perimeter firewall — the specific product does not matter; the actions below describe what to do in whichever console the organization uses for each function.</w:t>
      </w:r>
    </w:p>
    <w:p>
      <w:pPr>
        <w:pStyle w:val="Heading2"/>
        <w:spacing w:after="140" w:before="280"/>
      </w:pPr>
      <w:r>
        <w:t xml:space="preserve">A.1 Entry Criteria — When This Playbook Applies</w:t>
      </w:r>
    </w:p>
    <w:p>
      <w:pPr>
        <w:pStyle w:val="ListParagraph"/>
        <w:numPr>
          <w:ilvl w:val="0"/>
          <w:numId w:val="2"/>
        </w:numPr>
        <w:spacing w:after="80"/>
      </w:pPr>
      <w:r>
        <w:t xml:space="preserve">An EDR or antivirus alert returns a verdict of “Malicious” or “Quarantine Failed” on any host.</w:t>
      </w:r>
    </w:p>
    <w:p>
      <w:pPr>
        <w:pStyle w:val="ListParagraph"/>
        <w:numPr>
          <w:ilvl w:val="0"/>
          <w:numId w:val="2"/>
        </w:numPr>
        <w:spacing w:after="80"/>
      </w:pPr>
      <w:r>
        <w:t xml:space="preserve">A correlation rule fires for a process spawned by an email client, browser, or office application that opens an outbound network connection within 60 seconds of being spawned, to a destination not on the organization's approved list.</w:t>
      </w:r>
    </w:p>
    <w:p>
      <w:pPr>
        <w:pStyle w:val="ListParagraph"/>
        <w:numPr>
          <w:ilvl w:val="0"/>
          <w:numId w:val="2"/>
        </w:numPr>
        <w:spacing w:after="80"/>
      </w:pPr>
      <w:r>
        <w:t xml:space="preserve">A user reports a suspicious file execution, an unexpected pop-up, or a ransom note.</w:t>
      </w:r>
    </w:p>
    <w:p>
      <w:pPr>
        <w:pStyle w:val="Heading2"/>
        <w:spacing w:after="140" w:before="280"/>
      </w:pPr>
      <w:r>
        <w:t xml:space="preserve">A.2 Roles and Time Targets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dxa" w:w="30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Role</w:t>
            </w:r>
          </w:p>
        </w:tc>
        <w:tc>
          <w:tcPr>
            <w:tcW w:type="dxa" w:w="35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Engaged At</w:t>
            </w:r>
          </w:p>
        </w:tc>
        <w:tc>
          <w:tcPr>
            <w:tcW w:type="dxa" w:w="30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Target</w:t>
            </w:r>
          </w:p>
        </w:tc>
      </w:tr>
      <w:tr>
        <w:trPr>
          <w:cantSplit/>
        </w:trP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Tier 1 Analyst</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Immediately on alert</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Begin triage (Step 1) within 5 minutes</w:t>
            </w:r>
          </w:p>
        </w:tc>
      </w:tr>
      <w:tr>
        <w:trPr>
          <w:cantSplit/>
        </w:trP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Tier 2 Incident Response Lead</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Step 4 if severity is High/Critical, or on Tier 1 request</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Acknowledge within 10 minutes</w:t>
            </w:r>
          </w:p>
        </w:tc>
      </w:tr>
      <w:tr>
        <w:trPr>
          <w:cantSplit/>
        </w:trP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Asset Owner</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Step 5</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Acknowledge within 30 minutes</w:t>
            </w:r>
          </w:p>
        </w:tc>
      </w:tr>
      <w:tr>
        <w:trPr>
          <w:cantSplit/>
        </w:trP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Incident Commander / Management</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Only if Critical (Step 4) or destructive activity observed</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Engage within 30 minutes</w:t>
            </w:r>
          </w:p>
        </w:tc>
      </w:tr>
    </w:tbl>
    <w:p>
      <w:pPr>
        <w:pStyle w:val="Heading2"/>
        <w:spacing w:after="140" w:before="280"/>
      </w:pPr>
      <w:r>
        <w:t xml:space="preserve">A.3 Step-by-Step Response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rPr>
        <w:tc>
          <w:tcPr>
            <w:tcW w:type="dxa" w:w="45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w:t>
            </w:r>
          </w:p>
        </w:tc>
        <w:tc>
          <w:tcPr>
            <w:tcW w:type="dxa" w:w="13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Target Time</w:t>
            </w:r>
          </w:p>
        </w:tc>
        <w:tc>
          <w:tcPr>
            <w:tcW w:type="dxa" w:w="475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Action</w:t>
            </w:r>
          </w:p>
        </w:tc>
        <w:tc>
          <w:tcPr>
            <w:tcW w:type="dxa" w:w="30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Verification / Decision</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0–2 min</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Open the triggering alert. Record in the incident ticket: hostname, logged-in username, full process path, process hash (SHA256), parent process, and alert timestamp.</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All five fields must be populated before continuing. If the hash is missing, pull it manually from the EDR's file details view.</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2</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2–5 min</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Submit the SHA256 hash to the organization's threat-intelligence or reputation lookup service.</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5+ engines flag malicious → confirmed, go to Step 3. Fewer than 2 flags and no other indicator → do not close alone; get a second analyst's sign-off within 30 minutes before downgrading.</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3</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5–7 min</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In the EDR console, open the process tree for the flagged process. Record every child process and every outbound destination IP/domain contacted by it or its children.</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Any recorded destination becomes a required input to Step 10 — do not omit one because it looks benign.</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4</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7–8 min</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Assign severity per Section 4: execution confirmed AND a server/critical asset → High or Critical. Blocked before execution AND workstation only → Medium.</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Severity must be logged in the ticket before proceeding — it sets every remaining time target.</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5</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8–10 min</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Notify the Asset Owner using the template in Annex D.1.</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Log the exact notification time — required for the Post-Incident Review.</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6</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10–15 min</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Check whether the endpoint is currently online and checking in to the EDR.</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Online → go to Step 7. Offline → set “isolate on next check-in” if supported, and go directly to Step 10 without waiting for the endpoint to reappear.</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7</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15–20 min</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In the EDR console, select the endpoint and apply “Isolate from network” (or equivalent).</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Confirm status changes to Isolated within 2 minutes. If it does not, this action has NOT taken effect — escalate to Tier 2 immediately; do not assume success from the click alone.</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8</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20–25 min</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Pull a fresh process list from the isolated endpoint. If the malicious process is still present, terminate it directly from the EDR console.</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Re-pull the process list after termination and confirm the PID is gone.</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9</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25–30 min</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If the logged-in account is privileged or a service account, disable it immediately in the identity provider (exact steps: Annex C, Step 2) — do not wait for full malware analysis first.</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Confirm the account shows Disabled in the identity provider console.</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10</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30–35 min</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If any command-and-control domain/IP was recorded in Step 3, block it at the perimeter firewall for the entire organization, not only the affected host.</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Confirm by attempting a connection to that destination from a separate, unaffected test host and observing it fail or time out — do not rely on the firewall rule showing “Enabled” alone.</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11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35–40 min</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Confirm full containment: (a) the isolated endpoint cannot reach anything except the EDR management channel, (b) the malicious process is absent from the process list, (c) the perimeter block from Step 10 is confirmed.</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All three must pass before proceeding. If any fails, remain in containment and escalate to Tier 2.</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12</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Within SLA (e.g. 4h High / 24h Medium)</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Reimage the endpoint from the organization's known-good baseline image. Do not attempt manual removal of individual artifacts on any High or Critical incident.</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Confirm the reimage completed and the endpoint re-enrolls in EDR before it is returned to the user.</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13</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After reimage</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Restore user data only from a backup dated before the infection timestamp recorded in Step 1.</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Rescan the restored data for the identified malicious file before final restore.</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14</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Before ticket closure</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Identify the infection vector (email attachment, drive-by download, removable media, etc.) from the EDR's activity timeline.</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The ticket may not be closed with this field blank.</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15</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Within 5 business days (Medium+)</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Complete the Post-Incident Review per Section 8.2.</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The review must explicitly state whether the time targets above were met, and if not, why.</w:t>
            </w:r>
          </w:p>
        </w:tc>
      </w:tr>
    </w:tbl>
    <w:p>
      <w:pPr>
        <w:pStyle w:val="Heading2"/>
        <w:spacing w:after="140" w:before="280"/>
      </w:pPr>
      <w:r>
        <w:t xml:space="preserve">A.4 Escalation Triggers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dxa" w:w="42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Condition</w:t>
            </w:r>
          </w:p>
        </w:tc>
        <w:tc>
          <w:tcPr>
            <w:tcW w:type="dxa" w:w="33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Escalate To</w:t>
            </w:r>
          </w:p>
        </w:tc>
        <w:tc>
          <w:tcPr>
            <w:tcW w:type="dxa" w:w="20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Within</w:t>
            </w:r>
          </w:p>
        </w:tc>
      </w:tr>
      <w:tr>
        <w:trPr>
          <w:cantSplit/>
        </w:trPr>
        <w:tc>
          <w:tcPr>
            <w:tcW w:type="dxa" w:w="4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Severity assessed as High or Critical at Step 4</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Tier 2 Incident Response Lead</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Immediately</w:t>
            </w:r>
          </w:p>
        </w:tc>
      </w:tr>
      <w:tr>
        <w:trPr>
          <w:cantSplit/>
        </w:trPr>
        <w:tc>
          <w:tcPr>
            <w:tcW w:type="dxa" w:w="4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Isolation (Step 7) does not take effect within 2 minutes</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Tier 2 Incident Response Lead</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Immediately</w:t>
            </w:r>
          </w:p>
        </w:tc>
      </w:tr>
      <w:tr>
        <w:trPr>
          <w:cantSplit/>
        </w:trPr>
        <w:tc>
          <w:tcPr>
            <w:tcW w:type="dxa" w:w="4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Evidence of lateral movement to a second host</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Tier 2 Lead + Incident Commander</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10 minutes</w:t>
            </w:r>
          </w:p>
        </w:tc>
      </w:tr>
      <w:tr>
        <w:trPr>
          <w:cantSplit/>
        </w:trPr>
        <w:tc>
          <w:tcPr>
            <w:tcW w:type="dxa" w:w="4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A privileged or service account is involved</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Tier 2 Incident Response Lead</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Immediately</w:t>
            </w:r>
          </w:p>
        </w:tc>
      </w:tr>
      <w:tr>
        <w:trPr>
          <w:cantSplit/>
        </w:trPr>
        <w:tc>
          <w:tcPr>
            <w:tcW w:type="dxa" w:w="4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Ransom note, file encryption, or other destructive activity observed</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Incident Commander / Management</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Immediately — treat as Critical regardless of other factors</w:t>
            </w:r>
          </w:p>
        </w:tc>
      </w:tr>
    </w:tbl>
    <w:p>
      <w:pPr>
        <w:pStyle w:val="Heading2"/>
        <w:spacing w:after="140" w:before="280"/>
      </w:pPr>
      <w:r>
        <w:t xml:space="preserve">A.5 Common Pitfalls</w:t>
      </w:r>
    </w:p>
    <w:p>
      <w:pPr>
        <w:pStyle w:val="ListParagraph"/>
        <w:numPr>
          <w:ilvl w:val="0"/>
          <w:numId w:val="2"/>
        </w:numPr>
        <w:spacing w:after="80"/>
      </w:pPr>
      <w:r>
        <w:t xml:space="preserve">Shutting down the endpoint immediately, destroying volatile memory evidence that could have identified the malware family or additional indicators.</w:t>
      </w:r>
    </w:p>
    <w:p>
      <w:pPr>
        <w:pStyle w:val="ListParagraph"/>
        <w:numPr>
          <w:ilvl w:val="0"/>
          <w:numId w:val="2"/>
        </w:numPr>
        <w:spacing w:after="80"/>
      </w:pPr>
      <w:r>
        <w:t xml:space="preserve">Cleaning the endpoint and returning it to service without completing Step 14 — the same user is likely to be reinfected the same way.</w:t>
      </w:r>
    </w:p>
    <w:p>
      <w:pPr>
        <w:pStyle w:val="ListParagraph"/>
        <w:numPr>
          <w:ilvl w:val="0"/>
          <w:numId w:val="2"/>
        </w:numPr>
        <w:spacing w:after="80"/>
      </w:pPr>
      <w:r>
        <w:t xml:space="preserve">Blocking only the specific host's traffic to the malicious domain instead of organization-wide (Step 10), allowing the same command-and-control channel to succeed against a different host.</w:t>
      </w:r>
    </w:p>
    <w:p>
      <w:r>
        <w:br w:type="page"/>
      </w:r>
    </w:p>
    <w:p>
      <w:pPr>
        <w:pStyle w:val="Heading1"/>
        <w:spacing w:after="200" w:before="400"/>
      </w:pPr>
      <w:r>
        <w:t xml:space="preserve">Annex B — Certificate / PKI Compromise or Misuse Playbook</w:t>
      </w:r>
    </w:p>
    <w:p>
      <w:pPr>
        <w:spacing w:after="160"/>
        <w:jc w:val="left"/>
      </w:pPr>
      <w:r>
        <w:rPr>
          <w:b w:val="false"/>
          <w:bCs w:val="false"/>
          <w:i w:val="false"/>
          <w:iCs w:val="false"/>
        </w:rPr>
        <w:t xml:space="preserve">This playbook applies to organizations operating a Certificate Authority (CA) or issuing certificates as a service. It branches early into two distinct paths — misuse of a still-secure key versus actual extraction of key material — because the correct response and the disclosure obligations differ sharply between the two.</w:t>
      </w:r>
    </w:p>
    <w:p>
      <w:pPr>
        <w:pStyle w:val="Heading2"/>
        <w:spacing w:after="140" w:before="280"/>
      </w:pPr>
      <w:r>
        <w:t xml:space="preserve">B.1 Entry Criteria — When This Playbook Applies</w:t>
      </w:r>
    </w:p>
    <w:p>
      <w:pPr>
        <w:pStyle w:val="ListParagraph"/>
        <w:numPr>
          <w:ilvl w:val="0"/>
          <w:numId w:val="2"/>
        </w:numPr>
        <w:spacing w:after="80"/>
      </w:pPr>
      <w:r>
        <w:t xml:space="preserve">A CA issuance audit log entry has no matching approved change ticket.</w:t>
      </w:r>
    </w:p>
    <w:p>
      <w:pPr>
        <w:pStyle w:val="ListParagraph"/>
        <w:numPr>
          <w:ilvl w:val="0"/>
          <w:numId w:val="2"/>
        </w:numPr>
        <w:spacing w:after="80"/>
      </w:pPr>
      <w:r>
        <w:t xml:space="preserve">A Certificate Transparency monitoring alert reports a certificate covering a domain or identity not on the organization's authorized list.</w:t>
      </w:r>
    </w:p>
    <w:p>
      <w:pPr>
        <w:pStyle w:val="ListParagraph"/>
        <w:numPr>
          <w:ilvl w:val="0"/>
          <w:numId w:val="2"/>
        </w:numPr>
        <w:spacing w:after="80"/>
      </w:pPr>
      <w:r>
        <w:t xml:space="preserve">A Hardware Security Module (HSM) alert reports a key-export attempt, access outside an approved maintenance window, or a failed tamper-detection self-check.</w:t>
      </w:r>
    </w:p>
    <w:p>
      <w:pPr>
        <w:pStyle w:val="ListParagraph"/>
        <w:numPr>
          <w:ilvl w:val="0"/>
          <w:numId w:val="2"/>
        </w:numPr>
        <w:spacing w:after="80"/>
      </w:pPr>
      <w:r>
        <w:t xml:space="preserve">An external party (a browser vendor, customer, or researcher) reports a suspicious certificate bearing the organization's CA signature.</w:t>
      </w:r>
    </w:p>
    <w:p>
      <w:pPr>
        <w:pStyle w:val="Heading2"/>
        <w:spacing w:after="140" w:before="280"/>
      </w:pPr>
      <w:r>
        <w:t xml:space="preserve">B.2 Roles and Time Targets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dxa" w:w="30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Role</w:t>
            </w:r>
          </w:p>
        </w:tc>
        <w:tc>
          <w:tcPr>
            <w:tcW w:type="dxa" w:w="35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Engaged At</w:t>
            </w:r>
          </w:p>
        </w:tc>
        <w:tc>
          <w:tcPr>
            <w:tcW w:type="dxa" w:w="30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Target</w:t>
            </w:r>
          </w:p>
        </w:tc>
      </w:tr>
      <w:tr>
        <w:trPr>
          <w:cantSplit/>
        </w:trP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Tier 1 Analyst</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Immediately</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Begin triage (Step 1) within 5 minutes</w:t>
            </w:r>
          </w:p>
        </w:tc>
      </w:tr>
      <w:tr>
        <w:trPr>
          <w:cantSplit/>
        </w:trP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PKI / CA Administrator</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Step 2</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Acknowledge within 15 minutes</w:t>
            </w:r>
          </w:p>
        </w:tc>
      </w:tr>
      <w:tr>
        <w:trPr>
          <w:cantSplit/>
        </w:trP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Incident Commander / Management</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Step 6, if key compromise is suspected</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Engage within 15 minutes</w:t>
            </w:r>
          </w:p>
        </w:tc>
      </w:tr>
      <w:tr>
        <w:trPr>
          <w:cantSplit/>
        </w:trP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PKI Compliance Owner</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Step 8, if disclosure threshold is met</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Notify within the applicable mandatory window</w:t>
            </w:r>
          </w:p>
        </w:tc>
      </w:tr>
    </w:tbl>
    <w:p>
      <w:pPr>
        <w:pStyle w:val="Heading2"/>
        <w:spacing w:after="140" w:before="280"/>
      </w:pPr>
      <w:r>
        <w:t xml:space="preserve">B.3 Step-by-Step Response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rPr>
        <w:tc>
          <w:tcPr>
            <w:tcW w:type="dxa" w:w="45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w:t>
            </w:r>
          </w:p>
        </w:tc>
        <w:tc>
          <w:tcPr>
            <w:tcW w:type="dxa" w:w="13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Target Time</w:t>
            </w:r>
          </w:p>
        </w:tc>
        <w:tc>
          <w:tcPr>
            <w:tcW w:type="dxa" w:w="475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Action</w:t>
            </w:r>
          </w:p>
        </w:tc>
        <w:tc>
          <w:tcPr>
            <w:tcW w:type="dxa" w:w="30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Verification / Decision</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0–5 min</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Record: the exact certificate serial number, subject/domain, issuing CA or intermediate, and how the incident was discovered.</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If the serial number is not yet known, obtain it from the Certificate Transparency log entry or the reporter before continuing.</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2</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5–15 min</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Notify the PKI/CA Administrator. Pull the CA's issuance audit log for the exact timestamp and requesting account/workflow that produced the certificate.</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Determine whether the request came through the normal approved workflow (points to Step 3, misuse branch) or bypassed it entirely (points to Step 6, key-compromise branch).</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3</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15–20 min</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DECISION: was the certificate issued using a valid, authenticated credential that should not have had authority to request it (misuse), or is there any indication the CA's private signing key was accessed or exported outside the HSM?</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Misuse only → continue to Step 4. Any indication of key extraction → skip to Step 6 immediately; this is the more severe branch and takes priority.</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4</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20–30 min (misuse branch)</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Disable the specific requesting account or Registration Authority (RA) workflow credential in the CA's access management.</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Attempt a test call/login with that credential and confirm it is rejected.</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5</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30–40 min</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Revoke the specific unauthorized certificate(s) from Step 1 via the CA's revocation function; publish to both the CRL and the OCSP responder.</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Query the OCSP responder directly for that serial number and confirm it returns “revoked,” not just “good” — do not trust the CA console's internal status alone.</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6</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Immediately (key-compromise branch)</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Escalate to Incident Commander / Management. Do not take further remediation action without their explicit authorization from this point.</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The Incident Commander's decision must be recorded in the ticket before proceeding to Step 7.</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7</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Following authorization</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Begin generating a new key pair for the affected CA or intermediate under the organization's documented dual-control key-ceremony procedure.</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At least two authorized personnel must participate per the dual-control policy — this cannot be performed by one person.</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8</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Within the applicable mandatory window (commonly as short as 24 hours for a confirmed Sub-CA key compromise under CA/Browser Forum Baseline Requirements — confirm the current figure with the PKI Compliance Owner, as it is updated periodically)</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Notify the relevant root program(s)/browser vendors of the confirmed key compromise, even if the investigation is not yet complete.</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Send an initial notice with known facts and a committed follow-up date rather than waiting for full certainty — a late but complete report is worse than an early, limited one.</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9</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Parallel to Step 8</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Notify known relying parties/customers whose certificates are affected, using the template in Annex D.2.</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Notification list and send times logged in the ticket.</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10</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Verification</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Confirm every revoked certificate returns “revoked” from OCSP and appears in the current CRL, checked from a machine external to the organization's own network.</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Any certificate not showing revoked externally is not yet contained — repeat propagation and re-check before proceeding.</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11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Eradication (misuse branch)</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Correct the authorization workflow that allowed the misuse (e.g., mandatory dual-approval for issuance) before restoring the RA account or workflow to service.</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The workflow change must be documented and signed off by the PKI Administrator before re-enabling.</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12</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Eradication (key-compromise branch)</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Once the new key is generated, re-issue certificates for all legitimate holders under it, and decommission the old key material per the organization's key-destruction procedure.</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Confirm old key material is provably destroyed (e.g., an HSM key-deletion audit log entry), not merely deactivated.</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13</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Before ticket closure</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Complete the Post-Incident Review per Section 8.2. This is mandatory for this incident type regardless of severity, given the regulatory and root-program implications.</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The review must explicitly document whether the mandatory disclosure window (Step 8) was met.</w:t>
            </w:r>
          </w:p>
        </w:tc>
      </w:tr>
    </w:tbl>
    <w:p>
      <w:pPr>
        <w:pStyle w:val="Heading2"/>
        <w:spacing w:after="140" w:before="280"/>
      </w:pPr>
      <w:r>
        <w:t xml:space="preserve">B.4 Escalation Triggers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dxa" w:w="42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Condition</w:t>
            </w:r>
          </w:p>
        </w:tc>
        <w:tc>
          <w:tcPr>
            <w:tcW w:type="dxa" w:w="33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Escalate To</w:t>
            </w:r>
          </w:p>
        </w:tc>
        <w:tc>
          <w:tcPr>
            <w:tcW w:type="dxa" w:w="20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Within</w:t>
            </w:r>
          </w:p>
        </w:tc>
      </w:tr>
      <w:tr>
        <w:trPr>
          <w:cantSplit/>
        </w:trPr>
        <w:tc>
          <w:tcPr>
            <w:tcW w:type="dxa" w:w="4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Any indication of private key extraction (not just misuse)</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Incident Commander / Management</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Immediately</w:t>
            </w:r>
          </w:p>
        </w:tc>
      </w:tr>
      <w:tr>
        <w:trPr>
          <w:cantSplit/>
        </w:trPr>
        <w:tc>
          <w:tcPr>
            <w:tcW w:type="dxa" w:w="4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Any affected certificate is already deployed/trusted by a relying party</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PKI Administrator + Incident Commander</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Immediately</w:t>
            </w:r>
          </w:p>
        </w:tc>
      </w:tr>
      <w:tr>
        <w:trPr>
          <w:cantSplit/>
        </w:trPr>
        <w:tc>
          <w:tcPr>
            <w:tcW w:type="dxa" w:w="4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Revocation of the root or an intermediate CA certificate itself is under consideration</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Incident Commander / Management — decision authority, not an analyst</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Before any such revocation is executed</w:t>
            </w:r>
          </w:p>
        </w:tc>
      </w:tr>
      <w:tr>
        <w:trPr>
          <w:cantSplit/>
        </w:trPr>
        <w:tc>
          <w:tcPr>
            <w:tcW w:type="dxa" w:w="4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The mandatory disclosure window (Step 8) is at risk of being missed</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Incident Commander + PKI Compliance Owner</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Immediately</w:t>
            </w:r>
          </w:p>
        </w:tc>
      </w:tr>
    </w:tbl>
    <w:p>
      <w:pPr>
        <w:pStyle w:val="Heading2"/>
        <w:spacing w:after="140" w:before="280"/>
      </w:pPr>
      <w:r>
        <w:t xml:space="preserve">B.5 Common Pitfalls</w:t>
      </w:r>
    </w:p>
    <w:p>
      <w:pPr>
        <w:pStyle w:val="ListParagraph"/>
        <w:numPr>
          <w:ilvl w:val="0"/>
          <w:numId w:val="2"/>
        </w:numPr>
        <w:spacing w:after="80"/>
      </w:pPr>
      <w:r>
        <w:t xml:space="preserve">Treating unauthorized issuance (a process failure, Step 3 misuse branch) and actual private-key extraction (Step 3 key-compromise branch) as the same severity — they carry very different remediation and disclosure obligations.</w:t>
      </w:r>
    </w:p>
    <w:p>
      <w:pPr>
        <w:pStyle w:val="ListParagraph"/>
        <w:numPr>
          <w:ilvl w:val="0"/>
          <w:numId w:val="2"/>
        </w:numPr>
        <w:spacing w:after="80"/>
      </w:pPr>
      <w:r>
        <w:t xml:space="preserve">Revoking a root or intermediate CA certificate without recognizing this invalidates every certificate it has ever issued, including legitimate ones — this decision requires explicit management sign-off (Step 6).</w:t>
      </w:r>
    </w:p>
    <w:p>
      <w:pPr>
        <w:pStyle w:val="ListParagraph"/>
        <w:numPr>
          <w:ilvl w:val="0"/>
          <w:numId w:val="2"/>
        </w:numPr>
        <w:spacing w:after="80"/>
      </w:pPr>
      <w:r>
        <w:t xml:space="preserve">Missing the mandatory root-program disclosure deadline (Step 8) while still investigating internally — send the initial notice on time regardless.</w:t>
      </w:r>
    </w:p>
    <w:p>
      <w:r>
        <w:br w:type="page"/>
      </w:r>
    </w:p>
    <w:p>
      <w:pPr>
        <w:pStyle w:val="Heading1"/>
        <w:spacing w:after="200" w:before="400"/>
      </w:pPr>
      <w:r>
        <w:t xml:space="preserve">Annex C — Unauthorized Access / Account Compromise Playbook</w:t>
      </w:r>
    </w:p>
    <w:p>
      <w:pPr>
        <w:spacing w:after="160"/>
        <w:jc w:val="left"/>
      </w:pPr>
      <w:r>
        <w:rPr>
          <w:b w:val="false"/>
          <w:bCs w:val="false"/>
          <w:i w:val="false"/>
          <w:iCs w:val="false"/>
        </w:rPr>
        <w:t xml:space="preserve">This playbook applies to incidents where an account — standard user, administrative, or service — is confirmed or suspected to be under the control of someone other than its legitimate owner.</w:t>
      </w:r>
    </w:p>
    <w:p>
      <w:pPr>
        <w:pStyle w:val="Heading2"/>
        <w:spacing w:after="140" w:before="280"/>
      </w:pPr>
      <w:r>
        <w:t xml:space="preserve">C.1 Entry Criteria — When This Playbook Applies</w:t>
      </w:r>
    </w:p>
    <w:p>
      <w:pPr>
        <w:pStyle w:val="ListParagraph"/>
        <w:numPr>
          <w:ilvl w:val="0"/>
          <w:numId w:val="2"/>
        </w:numPr>
        <w:spacing w:after="80"/>
      </w:pPr>
      <w:r>
        <w:t xml:space="preserve">An impossible-travel alert: successful logins from two geographically distant locations within a time window shorter than travel would allow.</w:t>
      </w:r>
    </w:p>
    <w:p>
      <w:pPr>
        <w:pStyle w:val="ListParagraph"/>
        <w:numPr>
          <w:ilvl w:val="0"/>
          <w:numId w:val="2"/>
        </w:numPr>
        <w:spacing w:after="80"/>
      </w:pPr>
      <w:r>
        <w:t xml:space="preserve">A successful login immediately following 5 or more failed attempts on the same account within 10 minutes.</w:t>
      </w:r>
    </w:p>
    <w:p>
      <w:pPr>
        <w:pStyle w:val="ListParagraph"/>
        <w:numPr>
          <w:ilvl w:val="0"/>
          <w:numId w:val="2"/>
        </w:numPr>
        <w:spacing w:after="80"/>
      </w:pPr>
      <w:r>
        <w:t xml:space="preserve">A login to an account flagged as disabled, dormant (no activity in 90+ days), or belonging to an off-boarded employee.</w:t>
      </w:r>
    </w:p>
    <w:p>
      <w:pPr>
        <w:pStyle w:val="ListParagraph"/>
        <w:numPr>
          <w:ilvl w:val="0"/>
          <w:numId w:val="2"/>
        </w:numPr>
        <w:spacing w:after="80"/>
      </w:pPr>
      <w:r>
        <w:t xml:space="preserve">Registration of a new multi-factor authentication device or method without a corresponding user-initiated change request.</w:t>
      </w:r>
    </w:p>
    <w:p>
      <w:pPr>
        <w:pStyle w:val="Heading2"/>
        <w:spacing w:after="140" w:before="280"/>
      </w:pPr>
      <w:r>
        <w:t xml:space="preserve">C.2 Roles and Time Targets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dxa" w:w="30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Role</w:t>
            </w:r>
          </w:p>
        </w:tc>
        <w:tc>
          <w:tcPr>
            <w:tcW w:type="dxa" w:w="35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Engaged At</w:t>
            </w:r>
          </w:p>
        </w:tc>
        <w:tc>
          <w:tcPr>
            <w:tcW w:type="dxa" w:w="30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Target</w:t>
            </w:r>
          </w:p>
        </w:tc>
      </w:tr>
      <w:tr>
        <w:trPr>
          <w:cantSplit/>
        </w:trP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Tier 1 Analyst</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Immediately</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Begin triage (Step 1) within 5 minutes</w:t>
            </w:r>
          </w:p>
        </w:tc>
      </w:tr>
      <w:tr>
        <w:trPr>
          <w:cantSplit/>
        </w:trP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IAM / Identity Administrator</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Step 2</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Acknowledge within 10 minutes</w:t>
            </w:r>
          </w:p>
        </w:tc>
      </w:tr>
      <w:tr>
        <w:trPr>
          <w:cantSplit/>
        </w:trP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Tier 2 Incident Response Lead</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If privileged/service account (Step 4)</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Immediately</w:t>
            </w:r>
          </w:p>
        </w:tc>
      </w:tr>
      <w:tr>
        <w:trPr>
          <w:cantSplit/>
        </w:trP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Account owner (legitimate user)</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Step 9</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Contacted within 30 minutes via an independent channel</w:t>
            </w:r>
          </w:p>
        </w:tc>
      </w:tr>
    </w:tbl>
    <w:p>
      <w:pPr>
        <w:pStyle w:val="Heading2"/>
        <w:spacing w:after="140" w:before="280"/>
      </w:pPr>
      <w:r>
        <w:t xml:space="preserve">C.3 Step-by-Step Response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rPr>
        <w:tc>
          <w:tcPr>
            <w:tcW w:type="dxa" w:w="45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w:t>
            </w:r>
          </w:p>
        </w:tc>
        <w:tc>
          <w:tcPr>
            <w:tcW w:type="dxa" w:w="13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Target Time</w:t>
            </w:r>
          </w:p>
        </w:tc>
        <w:tc>
          <w:tcPr>
            <w:tcW w:type="dxa" w:w="475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Action</w:t>
            </w:r>
          </w:p>
        </w:tc>
        <w:tc>
          <w:tcPr>
            <w:tcW w:type="dxa" w:w="30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Verification / Decision</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0–2 min</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Open the alert. Record: account name, privilege level (standard/admin/service), source IP and geolocation of the flagged login, and timestamp.</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All fields populated before proceeding.</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2</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2–5 min</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In the identity provider console, disable the account immediately (do not merely reset the password at this stage).</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Confirm the account status shows Disabled — a pending/queued state is not sufficient; re-check after 60 seconds.</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3</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5–8 min</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In the identity provider or session-management console, terminate every active session and revoke every issued token for this account.</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Confirm the session list for the account is empty. A password reset alone does not achieve this on most platforms — this step must be done explicitly.</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4</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8–10 min</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Assign severity per Section 4: privileged or service account → High or Critical by default regardless of other factors. Standard user with no evidence of post-login activity → Medium.</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Severity logged before proceeding — it determines the remaining time targets.</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5</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10–15 min</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Revoke all currently-registered MFA devices/methods for the account.</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Confirm the account shows zero enrolled MFA methods before re-provisioning in Step 11.</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6</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15–20 min</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Check the account's activity log for the session window from Step 1: is there evidence of activity after the unauthorized login (data access, changes made, other accounts touched)?</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No evidence → proceed to Step 9. Evidence found → complete Step 7 and Step 8 first.</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7</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20–30 min (privileged/service accounts only)</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Review every action taken during the compromise window and revert any unauthorized changes (new accounts created, permission grants, mailbox forwarding rules, configuration changes).</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Each reverted change logged individually with a timestamp — a summary statement is not sufficient documentation.</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8</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20–30 min (parallel to Step 7)</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If the account had access to any shared credentials, API keys, or secrets, begin rotating them immediately.</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Confirm each rotated credential's old value no longer authenticates.</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9</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By 30 min from detection</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Contact the legitimate account owner through a channel independent of the compromised account (phone call or a separate messaging platform — never the account's own email) to confirm they did not perform the flagged login.</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Response logged in the ticket. If unreachable within 30 minutes, proceed with containment regardless — do not wait on user confirmation to contain.</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10</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Verification</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Confirm: account disabled, zero active sessions, zero MFA methods enrolled, and (if applicable) all unauthorized changes from Step 7 reverted and Step 8 credentials confirmed invalid.</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All four must pass before proceeding to recovery.</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11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Recovery</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Re-provision the account: new password communicated via the independent channel from Step 9 (never sent to the compromised account), fresh MFA enrolled by the user directly.</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Confirm the user can log in with the new credential and their own newly-enrolled MFA before considering the account restored.</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12</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Before ticket closure</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Determine and record the access vector (phishing, credential reuse from an external breach, malware, etc.).</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The ticket may not close with this field blank.</w:t>
            </w:r>
          </w:p>
        </w:tc>
      </w:tr>
      <w:tr>
        <w:trPr>
          <w:cantSplit/>
        </w:trPr>
        <w:tc>
          <w:tcPr>
            <w:tcW w:type="dxa" w:w="4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13</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Within 5 business days (Medium+)</w:t>
            </w:r>
          </w:p>
        </w:tc>
        <w:tc>
          <w:tcPr>
            <w:tcW w:type="dxa" w:w="475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Complete the Post-Incident Review per Section 8.2.</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Must state explicitly whether the time targets above were met.</w:t>
            </w:r>
          </w:p>
        </w:tc>
      </w:tr>
    </w:tbl>
    <w:p>
      <w:pPr>
        <w:pStyle w:val="Heading2"/>
        <w:spacing w:after="140" w:before="280"/>
      </w:pPr>
      <w:r>
        <w:t xml:space="preserve">C.4 Escalation Triggers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dxa" w:w="42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Condition</w:t>
            </w:r>
          </w:p>
        </w:tc>
        <w:tc>
          <w:tcPr>
            <w:tcW w:type="dxa" w:w="33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Escalate To</w:t>
            </w:r>
          </w:p>
        </w:tc>
        <w:tc>
          <w:tcPr>
            <w:tcW w:type="dxa" w:w="20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Within</w:t>
            </w:r>
          </w:p>
        </w:tc>
      </w:tr>
      <w:tr>
        <w:trPr>
          <w:cantSplit/>
        </w:trPr>
        <w:tc>
          <w:tcPr>
            <w:tcW w:type="dxa" w:w="4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Account is privileged or a service account</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Tier 2 Incident Response Lead</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Immediately</w:t>
            </w:r>
          </w:p>
        </w:tc>
      </w:tr>
      <w:tr>
        <w:trPr>
          <w:cantSplit/>
        </w:trPr>
        <w:tc>
          <w:tcPr>
            <w:tcW w:type="dxa" w:w="4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Evidence of lateral movement to other systems using this account</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Tier 2 Lead + Incident Commander</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10 minutes</w:t>
            </w:r>
          </w:p>
        </w:tc>
      </w:tr>
      <w:tr>
        <w:trPr>
          <w:cantSplit/>
        </w:trPr>
        <w:tc>
          <w:tcPr>
            <w:tcW w:type="dxa" w:w="4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Account owner confirms recent phishing click or similar credential exposure</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Security Awareness / Training Owner</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1 business day</w:t>
            </w:r>
          </w:p>
        </w:tc>
      </w:tr>
      <w:tr>
        <w:trPr>
          <w:cantSplit/>
        </w:trPr>
        <w:tc>
          <w:tcPr>
            <w:tcW w:type="dxa" w:w="4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More than one account compromised via the same apparent vector within 24 hours</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Incident Commander — possible broader campaign</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19"/>
                <w:szCs w:val="19"/>
              </w:rPr>
              <w:t xml:space="preserve">Immediately</w:t>
            </w:r>
          </w:p>
        </w:tc>
      </w:tr>
    </w:tbl>
    <w:p>
      <w:pPr>
        <w:pStyle w:val="Heading2"/>
        <w:spacing w:after="140" w:before="280"/>
      </w:pPr>
      <w:r>
        <w:t xml:space="preserve">C.5 Common Pitfalls</w:t>
      </w:r>
    </w:p>
    <w:p>
      <w:pPr>
        <w:pStyle w:val="ListParagraph"/>
        <w:numPr>
          <w:ilvl w:val="0"/>
          <w:numId w:val="2"/>
        </w:numPr>
        <w:spacing w:after="80"/>
      </w:pPr>
      <w:r>
        <w:t xml:space="preserve">Resetting the account password (only) without completing Step 3 — leaves the attacker's existing sessions intact despite the “fix.”</w:t>
      </w:r>
    </w:p>
    <w:p>
      <w:pPr>
        <w:pStyle w:val="ListParagraph"/>
        <w:numPr>
          <w:ilvl w:val="0"/>
          <w:numId w:val="2"/>
        </w:numPr>
        <w:spacing w:after="80"/>
      </w:pPr>
      <w:r>
        <w:t xml:space="preserve">Skipping Step 7 for a privileged account — mailbox forwarding rules and newly-created accounts are the two most commonly missed persistence mechanisms.</w:t>
      </w:r>
    </w:p>
    <w:p>
      <w:pPr>
        <w:pStyle w:val="ListParagraph"/>
        <w:numPr>
          <w:ilvl w:val="0"/>
          <w:numId w:val="2"/>
        </w:numPr>
        <w:spacing w:after="80"/>
      </w:pPr>
      <w:r>
        <w:t xml:space="preserve">Applying the same low-urgency response to every account compromise regardless of privilege level — Step 4's severity assignment exists specifically to prevent this.</w:t>
      </w:r>
    </w:p>
    <w:p>
      <w:r>
        <w:br w:type="page"/>
      </w:r>
    </w:p>
    <w:p>
      <w:pPr>
        <w:pStyle w:val="Heading1"/>
        <w:spacing w:after="200" w:before="400"/>
      </w:pPr>
      <w:r>
        <w:t xml:space="preserve">Annex D — Standard Notification Templates</w:t>
      </w:r>
    </w:p>
    <w:p>
      <w:pPr>
        <w:spacing w:after="160"/>
        <w:jc w:val="left"/>
      </w:pPr>
      <w:r>
        <w:rPr>
          <w:b w:val="false"/>
          <w:bCs w:val="false"/>
          <w:i w:val="false"/>
          <w:iCs w:val="false"/>
        </w:rPr>
        <w:t xml:space="preserve">These templates are used at the exact steps referenced in Annexes A–C. Fields in brackets are filled in at the time of sending; the surrounding wording is used as-is so that recipients receive a consistent, recognizable format regardless of which analyst sends it.</w:t>
      </w:r>
    </w:p>
    <w:p>
      <w:pPr>
        <w:pStyle w:val="Heading2"/>
        <w:spacing w:after="140" w:before="280"/>
      </w:pPr>
      <w:r>
        <w:t xml:space="preserve">D.1 Initial Notification to an Asset Owner</w:t>
      </w:r>
    </w:p>
    <w:p>
      <w:pPr>
        <w:spacing w:after="160"/>
        <w:jc w:val="left"/>
      </w:pPr>
      <w:r>
        <w:rPr>
          <w:b w:val="false"/>
          <w:bCs w:val="false"/>
          <w:i/>
          <w:iCs/>
        </w:rPr>
        <w:t xml:space="preserve">Used at: Annex A, Step 5.</w:t>
      </w:r>
    </w:p>
    <w:p>
      <w:pPr>
        <w:spacing w:after="160"/>
        <w:jc w:val="left"/>
      </w:pPr>
      <w:r>
        <w:rPr>
          <w:b w:val="false"/>
          <w:bCs w:val="false"/>
          <w:i w:val="false"/>
          <w:iCs w:val="false"/>
        </w:rPr>
        <w:t xml:space="preserve">“[SECURITY NOTICE] A suspected security incident has been detected on [hostname/system], owned by your team. Severity: [Low/Medium/High/Critical]. We are actively investigating and containing. No action is required from you at this time unless separately requested. We will provide an update within [30 minutes / 1 hour, per severity]. Incident reference: [ticket ID].”</w:t>
      </w:r>
    </w:p>
    <w:p>
      <w:pPr>
        <w:pStyle w:val="Heading2"/>
        <w:spacing w:after="140" w:before="280"/>
      </w:pPr>
      <w:r>
        <w:t xml:space="preserve">D.2 Notification to Relying Parties / Customers (PKI Incidents)</w:t>
      </w:r>
    </w:p>
    <w:p>
      <w:pPr>
        <w:spacing w:after="160"/>
        <w:jc w:val="left"/>
      </w:pPr>
      <w:r>
        <w:rPr>
          <w:b w:val="false"/>
          <w:bCs w:val="false"/>
          <w:i/>
          <w:iCs/>
        </w:rPr>
        <w:t xml:space="preserve">Used at: Annex B, Step 9.</w:t>
      </w:r>
    </w:p>
    <w:p>
      <w:pPr>
        <w:spacing w:after="160"/>
        <w:jc w:val="left"/>
      </w:pPr>
      <w:r>
        <w:rPr>
          <w:b w:val="false"/>
          <w:bCs w:val="false"/>
          <w:i w:val="false"/>
          <w:iCs w:val="false"/>
        </w:rPr>
        <w:t xml:space="preserve">“[SECURITY NOTICE] We have identified an issue affecting [a certificate / certificates issued by our organization]. Affected serial number(s): [list]. Recommended action: [none required / please replace the affected certificate using the instructions at …]. We will provide further updates as the investigation progresses. Contact [security/PKI contact] with any questions. Incident reference: [ticket ID].”</w:t>
      </w:r>
    </w:p>
    <w:p>
      <w:pPr>
        <w:pStyle w:val="Heading2"/>
        <w:spacing w:after="140" w:before="280"/>
      </w:pPr>
      <w:r>
        <w:t xml:space="preserve">D.3 Independent-Channel Contact Script (Account Compromise)</w:t>
      </w:r>
    </w:p>
    <w:p>
      <w:pPr>
        <w:spacing w:after="160"/>
        <w:jc w:val="left"/>
      </w:pPr>
      <w:r>
        <w:rPr>
          <w:b w:val="false"/>
          <w:bCs w:val="false"/>
          <w:i/>
          <w:iCs/>
        </w:rPr>
        <w:t xml:space="preserve">Used at: Annex C, Step 9 — spoken or messaged, never sent to the account under investigation.</w:t>
      </w:r>
    </w:p>
    <w:p>
      <w:pPr>
        <w:spacing w:after="160"/>
        <w:jc w:val="left"/>
      </w:pPr>
      <w:r>
        <w:rPr>
          <w:b w:val="false"/>
          <w:bCs w:val="false"/>
          <w:i w:val="false"/>
          <w:iCs w:val="false"/>
        </w:rPr>
        <w:t xml:space="preserve">“Hello [name], this is [analyst name] from the security team. We detected a login to your account from [location/IP] at [time] that we have not yet confirmed as you. Was this you? If not, please do not attempt to log in until we confirm your account is secure — we have already disabled it as a precaution and will re-enable it with a new password once this is resolved.”</w:t>
      </w:r>
    </w:p>
    <w:p>
      <w:r>
        <w:br w:type="page"/>
      </w:r>
    </w:p>
    <w:p>
      <w:pPr>
        <w:pStyle w:val="Heading1"/>
        <w:spacing w:after="200" w:before="400"/>
      </w:pPr>
      <w:r>
        <w:t xml:space="preserve">Annex E — ISO/IEC 27001:2022 Alignment</w:t>
      </w:r>
    </w:p>
    <w:p>
      <w:pPr>
        <w:spacing w:after="160"/>
        <w:jc w:val="left"/>
      </w:pPr>
      <w:r>
        <w:rPr>
          <w:b w:val="false"/>
          <w:bCs w:val="false"/>
          <w:i w:val="false"/>
          <w:iCs w:val="false"/>
        </w:rPr>
        <w:t xml:space="preserve">The organization holds ISO/IEC 27001 certification. This table maps each part of this document to the specific Annex A control or main-clause requirement it satisfies, for audit traceability. It supplements, and does not replace, the organization's Statement of Applicability.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dxa" w:w="32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This Document</w:t>
            </w:r>
          </w:p>
        </w:tc>
        <w:tc>
          <w:tcPr>
            <w:tcW w:type="dxa" w:w="32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ISO/IEC 27001:2022 Reference</w:t>
            </w:r>
          </w:p>
        </w:tc>
        <w:tc>
          <w:tcPr>
            <w:tcW w:type="dxa" w:w="31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Requirement Satisfied</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Section 5 (Preparation)</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A.5.24</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Information security incident management planning and preparation</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Section 6 (Detection &amp; Analysis)</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A.5.25</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Assessment and decision on information security events</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Section 7 (Containment, Eradication, Recovery); Annexes A–C</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A.5.26</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Response to information security incidents</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Section 8.2 (Post-Incident Review)</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A.5.27</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Learning from information security incidents</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Section 6.3 (Evidence Handling and Chain of Custody)</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A.5.28</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Collection of evidence</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Section 5.7, 12.5 (Homologation, External Audits)</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A.5.35 / A.5.36</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Independent review of information security; compliance with policies and standards</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Section 8.3 (Metrics); Section 5.5 (Testing and Exercises)</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Clause 9.1 / 9.2</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Monitoring, measurement, and internal audit input</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Document Control page</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Clause 7.5</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Control of documented information</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Section 8.2, recurring findings handling (12.5)</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Clause 10.1 / 10.2</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Continual improvement; nonconformity and corrective action</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Whole document, reviewed on the cycle stated on the title page</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Clause 9.3</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Management review input</w:t>
            </w:r>
          </w:p>
        </w:tc>
      </w:tr>
    </w:tbl>
    <w:p>
      <w:pPr>
        <w:spacing w:after="160"/>
        <w:jc w:val="left"/>
      </w:pPr>
      <w:r>
        <w:rPr>
          <w:b w:val="false"/>
          <w:bCs w:val="false"/>
          <w:i w:val="false"/>
          <w:iCs w:val="false"/>
        </w:rPr>
        <w:t xml:space="preserve">This mapping should be reviewed and updated whenever the organization's ISO/IEC 27001 certification is recertified or the standard's control set is revised, and whenever this document itself is materially changed.</w:t>
      </w:r>
    </w:p>
    <w:p>
      <w:r>
        <w:br w:type="page"/>
      </w:r>
    </w:p>
    <w:p>
      <w:pPr>
        <w:pStyle w:val="Heading1"/>
        <w:spacing w:after="200" w:before="400"/>
      </w:pPr>
      <w:r>
        <w:t xml:space="preserve">Document Control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rPr>
        <w:tc>
          <w:tcPr>
            <w:tcW w:type="dxa" w:w="15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Version</w:t>
            </w:r>
          </w:p>
        </w:tc>
        <w:tc>
          <w:tcPr>
            <w:tcW w:type="dxa" w:w="20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Date</w:t>
            </w:r>
          </w:p>
        </w:tc>
        <w:tc>
          <w:tcPr>
            <w:tcW w:type="dxa" w:w="25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Author</w:t>
            </w:r>
          </w:p>
        </w:tc>
        <w:tc>
          <w:tcPr>
            <w:tcW w:type="dxa" w:w="30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b/>
                <w:bCs/>
                <w:sz w:val="20"/>
                <w:szCs w:val="20"/>
              </w:rPr>
              <w:t xml:space="preserve">Summary of Changes</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1.0</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[Date]</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[Author]</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Initial version — core process (Sections 1–9) and Annex A (Malware Infection)</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1.1</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[Date]</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[Author]</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Added Annex B (Certificate/PKI Compromise or Misuse) and Annex C (Unauthorized Access / Account Compromise)</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1.2</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[Date]</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[Author]</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Rewrote Annexes A–C as step-by-step operational runbooks with exact time targets and verification criteria; added Annex D (Notification Templates)</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2.0</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[Date]</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[Author]</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Added Testing/Exercises and Data Classification (5.5–5.6); expanded evidence handling into full chain-of-custody (6.3); added SLA baseline table (9.2); added Shift Handover (10), Legal and Regulatory Notification (11), and Technical Coverage Baseline (12)</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2.1</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[Date]</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[Author]</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0"/>
                <w:szCs w:val="20"/>
              </w:rPr>
              <w:t xml:space="preserve">Replaced generic legal notification placeholder with the organization's actual applicable framework (DGSSI/Loi 05-20/DNSSI and CNDP/Loi 09-08); added RSSI role, Homologation and Audit Readiness (5.7, 12.5), and Annex E (ISO/IEC 27001:2022 Alignment)</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Incident Response Process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abstractNum w:abstractNumId="4" w15:restartNumberingAfterBreak="0">
    <w:multiLevelType w:val="hybridMultilevel"/>
    <w:lvl w:ilvl="0" w15:tentative="1">
      <w:start w:val="1"/>
      <w:numFmt w:val="decimal"/>
      <w:lvlText w:val="%1."/>
      <w:lvlJc w:val="left"/>
      <w:pPr>
        <w:ind w:left="360" w:hanging="260"/>
      </w:pPr>
    </w:lvl>
  </w:abstractNum>
  <w:abstractNum w:abstractNumId="5" w15:restartNumberingAfterBreak="0">
    <w:multiLevelType w:val="hybridMultilevel"/>
    <w:lvl w:ilvl="0" w15:tentative="1">
      <w:start w:val="1"/>
      <w:numFmt w:val="decimal"/>
      <w:lvlText w:val="%1."/>
      <w:lvlJc w:val="left"/>
      <w:pPr>
        <w:ind w:left="360" w:hanging="260"/>
      </w:pPr>
    </w:lvl>
  </w:abstractNum>
  <w:abstractNum w:abstractNumId="6" w15:restartNumberingAfterBreak="0">
    <w:multiLevelType w:val="hybridMultilevel"/>
    <w:lvl w:ilvl="0" w15:tentative="1">
      <w:start w:val="1"/>
      <w:numFmt w:val="decimal"/>
      <w:lvlText w:val="%1."/>
      <w:lvlJc w:val="left"/>
      <w:pPr>
        <w:ind w:left="360" w:hanging="260"/>
      </w:pPr>
    </w:lvl>
  </w:abstractNum>
  <w:abstractNum w:abstractNumId="7" w15:restartNumberingAfterBreak="0">
    <w:multiLevelType w:val="hybridMultilevel"/>
    <w:lvl w:ilvl="0" w15:tentative="1">
      <w:start w:val="1"/>
      <w:numFmt w:val="decimal"/>
      <w:lvlText w:val="%1."/>
      <w:lvlJc w:val="left"/>
      <w:pPr>
        <w:ind w:left="360" w:hanging="260"/>
      </w:pPr>
    </w:lvl>
  </w:abstractNum>
  <w:abstractNum w:abstractNumId="8" w15:restartNumberingAfterBreak="0">
    <w:multiLevelType w:val="hybridMultilevel"/>
    <w:lvl w:ilvl="0" w15:tentative="1">
      <w:start w:val="1"/>
      <w:numFmt w:val="decimal"/>
      <w:lvlText w:val="%1."/>
      <w:lvlJc w:val="left"/>
      <w:pPr>
        <w:ind w:left="360" w:hanging="260"/>
      </w:pPr>
    </w:lvl>
  </w:abstractNum>
  <w:abstractNum w:abstractNumId="9"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b/>
      <w:bCs/>
      <w:color w:val="222222"/>
      <w:sz w:val="30"/>
      <w:szCs w:val="30"/>
    </w:rPr>
  </w:style>
  <w:style w:type="paragraph" w:styleId="Heading2">
    <w:name w:val="Heading 2"/>
    <w:basedOn w:val="Normal"/>
    <w:next w:val="Normal"/>
    <w:qFormat/>
    <w:pPr>
      <w:spacing w:after="140" w:before="280"/>
    </w:pPr>
    <w:rPr>
      <w:b/>
      <w:bCs/>
      <w:color w:val="222222"/>
      <w:sz w:val="25"/>
      <w:szCs w:val="25"/>
    </w:rPr>
  </w:style>
  <w:style w:type="paragraph" w:styleId="Heading3">
    <w:name w:val="Heading 3"/>
    <w:basedOn w:val="Normal"/>
    <w:next w:val="Normal"/>
    <w:qFormat/>
    <w:pPr>
      <w:spacing w:after="100" w:before="200"/>
    </w:pPr>
    <w:rPr>
      <w:b/>
      <w:bCs/>
      <w:i/>
      <w:iCs/>
      <w:color w:val="22222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2026-09-19T21:07:52.679Z</dcterms:created>
  <dcterms:modified xsi:type="dcterms:W3CDTF">2026-09-19T21:07:52.679Z</dcterms:modified>
</cp:coreProperties>
</file>

<file path=docProps/custom.xml><?xml version="1.0" encoding="utf-8"?>
<Properties xmlns="http://schemas.openxmlformats.org/officeDocument/2006/custom-properties" xmlns:vt="http://schemas.openxmlformats.org/officeDocument/2006/docPropsVTypes"/>
</file>