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44"/>
          <w:szCs w:val="44"/>
        </w:rPr>
        <w:t xml:space="preserve">Processus de Réponse aux Incidents</w:t>
      </w:r>
    </w:p>
    <w:p>
      <w:pPr>
        <w:spacing w:after="100"/>
        <w:jc w:val="center"/>
      </w:pPr>
      <w:r>
        <w:rPr>
          <w:color w:val="555555"/>
          <w:sz w:val="26"/>
          <w:szCs w:val="26"/>
        </w:rPr>
        <w:t xml:space="preserve">Procédure Technique et Organisationnelle</w:t>
      </w:r>
    </w:p>
    <w:p>
      <w:pPr>
        <w:spacing w:after="1200"/>
        <w:jc w:val="center"/>
      </w:pPr>
      <w:r>
        <w:rPr>
          <w:i/>
          <w:iCs/>
          <w:color w:val="777777"/>
          <w:sz w:val="22"/>
          <w:szCs w:val="22"/>
        </w:rPr>
        <w:t xml:space="preserve">À l'usage de la fonction Sécurité Opérationnelle, y compris un futur prestataire de SOC externe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Propriétaire du document</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[Équipe Sécurité / Département IT]</w:t>
            </w:r>
          </w:p>
        </w:tc>
      </w:tr>
      <w:tr>
        <w:trPr>
          <w:cantSplit/>
        </w:trPr>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Version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2.1</w:t>
            </w:r>
          </w:p>
        </w:tc>
      </w:tr>
      <w:tr>
        <w:trPr>
          <w:cantSplit/>
        </w:trPr>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Statut</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Brouillon — en cours de relecture</w:t>
            </w:r>
          </w:p>
        </w:tc>
      </w:tr>
      <w:tr>
        <w:trPr>
          <w:cantSplit/>
        </w:trPr>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Cycle de révision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Annuellement, ou après tout incident majeur</w:t>
            </w:r>
          </w:p>
        </w:tc>
      </w:tr>
      <w:tr>
        <w:trPr>
          <w:cantSplit/>
        </w:trPr>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Classification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Interne — Confidentiel</w:t>
            </w:r>
          </w:p>
        </w:tc>
      </w:tr>
    </w:tbl>
    <w:p>
      <w:r>
        <w:br w:type="page"/>
      </w:r>
    </w:p>
    <w:p>
      <w:pPr>
        <w:pStyle w:val="Heading1"/>
        <w:spacing w:after="200" w:before="400"/>
      </w:pPr>
      <w:r>
        <w:t xml:space="preserve">1. Objet et Périmètre</w:t>
      </w:r>
    </w:p>
    <w:p>
      <w:pPr>
        <w:spacing w:after="160"/>
        <w:jc w:val="left"/>
      </w:pPr>
      <w:r>
        <w:rPr>
          <w:b w:val="false"/>
          <w:bCs w:val="false"/>
          <w:i w:val="false"/>
          <w:iCs w:val="false"/>
        </w:rPr>
        <w:t xml:space="preserve">Ce document définit comment l'organisation détecte, analyse, confine et se rétablit des incidents de sécurité de l'information, et comment elle en tire des enseignements par la suite. Il est rédigé de manière indépendante de tout outil de détection ou de réponse spécifique, afin de rester valable à mesure que la technologie de l'organisation évolue — y compris la transition prévue vers un Centre Opérationnel de Sécurité (SOC) externe dédié.</w:t>
      </w:r>
    </w:p>
    <w:p>
      <w:pPr>
        <w:spacing w:after="160"/>
        <w:jc w:val="left"/>
      </w:pPr>
      <w:r>
        <w:rPr>
          <w:b w:val="false"/>
          <w:bCs w:val="false"/>
          <w:i w:val="false"/>
          <w:iCs w:val="false"/>
        </w:rPr>
        <w:t xml:space="preserve">Le processus s'applique à tout événement confirmé, ou raisonnablement suspecté, de constituer une violation des politiques de sécurité de l'information de l'organisation, incluant notamment : les infections par logiciel malveillant, les accès non autorisés, l'exfiltration de données, les dénis de service, les attaques d'applications web, l'utilisation abusive en interne, et les événements de sécurité physique ayant une dimension sécurité de l'information.</w:t>
      </w:r>
    </w:p>
    <w:p>
      <w:pPr>
        <w:spacing w:after="160"/>
        <w:jc w:val="left"/>
      </w:pPr>
      <w:r>
        <w:rPr>
          <w:b w:val="false"/>
          <w:bCs w:val="false"/>
          <w:i w:val="false"/>
          <w:iCs w:val="false"/>
        </w:rPr>
        <w:t xml:space="preserve">Ce document ne décrit pas comment configurer une plateforme de détection, un SIEM ou un pare-feu particulier. La configuration spécifique aux outils relève de procédures techniques distinctes référencées depuis ce processus, et non intégrées dans celui-ci — ceci maintient le processus lui-même stable même lorsque les outils sont remplacés.</w:t>
      </w:r>
    </w:p>
    <w:p>
      <w:pPr>
        <w:pStyle w:val="Heading1"/>
        <w:spacing w:after="200" w:before="400"/>
      </w:pPr>
      <w:r>
        <w:t xml:space="preserve">2. Définitions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Terme</w:t>
            </w:r>
          </w:p>
        </w:tc>
        <w:tc>
          <w:tcPr>
            <w:tcW w:type="dxa" w:w="68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Définition</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Événement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Toute occurrence observable dans un système ou un réseau (par exemple, une entrée de journal, une alerte). Tout événement n'est pas nécessairement un incident.</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Incident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Un événement, ou un ensemble d'événements corrélés, confirmé ou raisonnablement suspecté de violer la politique de sécurité ou de menacer la confidentialité, l'intégrité ou la disponibilité d'un actif.</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Indicateur de Compromission (IoC)</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Un artefact observable (adresse IP, empreinte de fichier, domaine, clé de registre, etc.) associé à une activité malveillante.</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Confinement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Action visant à limiter l'étendue ou l'impact d'un incident sans nécessairement en éliminer la cause racine.</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Éradication</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Suppression de la cause racine d'un incident (logiciel malveillant, compte non autorisé, vulnérabilité, etc.).</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MTTD / MTTR</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Délai Moyen de Détection / Délai Moyen de Réponse — indicateurs clés utilisés pour évaluer le processus dans le temps.</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Playbook</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Un ensemble concret d'étapes, propre à un type d'incident, qui instancie ce processus général pour une catégorie d'incident (voir l'Annexe A pour un exemple).</w:t>
            </w:r>
          </w:p>
        </w:tc>
      </w:tr>
    </w:tbl>
    <w:p>
      <w:pPr>
        <w:pStyle w:val="Heading1"/>
        <w:spacing w:after="200" w:before="400"/>
      </w:pPr>
      <w:r>
        <w:t xml:space="preserve">3. Rôles et Responsabilités</w:t>
      </w:r>
    </w:p>
    <w:p>
      <w:pPr>
        <w:spacing w:after="160"/>
        <w:jc w:val="left"/>
      </w:pPr>
      <w:r>
        <w:rPr>
          <w:b w:val="false"/>
          <w:bCs w:val="false"/>
          <w:i w:val="false"/>
          <w:iCs w:val="false"/>
        </w:rPr>
        <w:t xml:space="preserve">Les intitulés exacts varient selon la taille de l'organisation ; ce qui importe est que chacune de ces fonctions soit attribuée à une personne ou un rôle nommé avant qu'un incident ne survienne, et non pendant celui-ci.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Rôle</w:t>
            </w:r>
          </w:p>
        </w:tc>
        <w:tc>
          <w:tcPr>
            <w:tcW w:type="dxa" w:w="68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Responsabilité</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Analyste / Gestionnaire d'Incident (Niveau 1)</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Surveille les alertes, effectue le tri initial, classe la sévérité, escalade les incidents confirmés.</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Responsable de la Réponse aux Incidents (Niveau 2)</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Assume la responsabilité d'un incident confirmé de bout en bout : dirige le confinement/l'éradication, coordonne les autres rôles, autorise les actions de réponse au-delà du niveau d'autorité de l'analyste.</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Propriétaire du Système / Actif</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Propriétaire du système affecté ; doit approuver toute action de confinement ayant un impact métier potentiel (par exemple, isoler un serveur de production), sauf si le niveau de sévérité permet au Responsable de la Réponse d'agir unilatéralement (voir Section 5.2).</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Direction / Commandant d'Incident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Impliqué pour les incidents Élevés/Critiques ; responsable de la communication externe, des décisions de notification légale/réglementaire, et de l'allocation des ressources.</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Prestataire de SOC Externe (futur)</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Une fois opérationnel, assume les fonctions de surveillance et de réponse initiale de Niveau 1/Niveau 2 selon l'Accord de Niveau de Service ; escalade vers le Responsable de la Réponse interne selon les seuils de la Section 5.2. Ce document est la référence commune aux deux parties.</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RSSI (Responsable de la Sécurité des Systèmes d'Information)</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Interlocuteur officiel de l'organisation avec la DGSSI au titre de la Loi 05-20/DNSSI ; responsable des déclarations réglementaires d'incidents, de la conformité en matière d'homologation, et de la coordination avec les auditeurs qualifiés PASSI (voir Sections 11 et 12.5).</w:t>
            </w:r>
          </w:p>
        </w:tc>
      </w:tr>
    </w:tbl>
    <w:p>
      <w:pPr>
        <w:pStyle w:val="Heading1"/>
        <w:spacing w:after="200" w:before="400"/>
      </w:pPr>
      <w:r>
        <w:t xml:space="preserve">4. Classification de Sévérité des Incidents</w:t>
      </w:r>
    </w:p>
    <w:p>
      <w:pPr>
        <w:spacing w:after="160"/>
        <w:jc w:val="left"/>
      </w:pPr>
      <w:r>
        <w:rPr>
          <w:b w:val="false"/>
          <w:bCs w:val="false"/>
          <w:i w:val="false"/>
          <w:iCs w:val="false"/>
        </w:rPr>
        <w:t xml:space="preserve">La sévérité est attribuée lors du tri initial et réévaluée à mesure que l'incident évolue. Elle détermine les objectifs de délai de réponse et qui est autorisé à agir.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rPr>
        <w:tc>
          <w:tcPr>
            <w:tcW w:type="dxa" w:w="1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Niveau</w:t>
            </w:r>
          </w:p>
        </w:tc>
        <w:tc>
          <w:tcPr>
            <w:tcW w:type="dxa" w:w="38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Description</w:t>
            </w:r>
          </w:p>
        </w:tc>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Exemples</w:t>
            </w:r>
          </w:p>
        </w:tc>
        <w:tc>
          <w:tcPr>
            <w:tcW w:type="dxa" w:w="1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Délai de Réponse Cible</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Critique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Compromission active avec impact confirmé sur la confidentialité, l'intégrité ou la disponibilité d'un système critique ; perte de données en cours.</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Exécution d'un rançongiciel ; exfiltration de données confirmée ; compromission d'un compte administrateur de domaine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&lt; 15 min</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Élevé</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Activité malveillante active à fort impact potentiel, non encore confirmée comme ayant causé une perte.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Exécution de logiciel malveillant sur un poste ; exploitation réussie d'une application web avec exécution de code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&lt; 1 heure</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Moyen</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Activité suspecte compatible avec une technique d'attaque à un stade précoce ou contenue.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Reconnaissance/balayage ; activité non conforme mais non destructrice ; tentative d'exploitation isolée échouée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&lt; 4 heures</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Faible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Activité anormale mais à faible confiance, ou constat bénin connu conservé pour visibilité.</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Un échec de connexion isolé ; une correspondance de règle de détection étroite sans preuve corroborante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&lt; 1 jour ouvré</w:t>
            </w:r>
          </w:p>
        </w:tc>
      </w:tr>
    </w:tbl>
    <w:p>
      <w:pPr>
        <w:pStyle w:val="Heading1"/>
        <w:spacing w:after="200" w:before="400"/>
      </w:pPr>
      <w:r>
        <w:t xml:space="preserve">5. Phase 1 — Préparation</w:t>
      </w:r>
    </w:p>
    <w:p>
      <w:pPr>
        <w:spacing w:after="160"/>
        <w:jc w:val="left"/>
      </w:pPr>
      <w:r>
        <w:rPr>
          <w:b w:val="false"/>
          <w:bCs w:val="false"/>
          <w:i w:val="false"/>
          <w:iCs w:val="false"/>
        </w:rPr>
        <w:t xml:space="preserve">La préparation est ce qui rend les phases suivantes exécutables sous pression. Elle est révisée selon le cycle indiqué en page de titre, et après tout incident Critique ou Élevé.</w:t>
      </w:r>
    </w:p>
    <w:p>
      <w:pPr>
        <w:pStyle w:val="Heading2"/>
        <w:spacing w:after="140" w:before="280"/>
      </w:pPr>
      <w:r>
        <w:t xml:space="preserve">5.1 Inventaire des Actifs et des Sources de Journalisation</w:t>
      </w:r>
    </w:p>
    <w:p>
      <w:pPr>
        <w:spacing w:after="160"/>
        <w:jc w:val="left"/>
      </w:pPr>
      <w:r>
        <w:rPr>
          <w:b w:val="false"/>
          <w:bCs w:val="false"/>
          <w:i w:val="false"/>
          <w:iCs w:val="false"/>
        </w:rPr>
        <w:t xml:space="preserve">Maintenir un inventaire à jour : systèmes concernés, sources de journalisation que chacun produit, lieu de collecte de ces journaux, et leur durée de conservation. Un incident ne peut pas être investigué à partir d'une source de journalisation dont personne ne connaissait l'existence.</w:t>
      </w:r>
    </w:p>
    <w:p>
      <w:pPr>
        <w:pStyle w:val="Heading2"/>
        <w:spacing w:after="140" w:before="280"/>
      </w:pPr>
      <w:r>
        <w:t xml:space="preserve">5.2 Seuils d'Autorité et d'Escalade</w:t>
      </w:r>
    </w:p>
    <w:p>
      <w:pPr>
        <w:spacing w:after="160"/>
        <w:jc w:val="left"/>
      </w:pPr>
      <w:r>
        <w:rPr>
          <w:b w:val="false"/>
          <w:bCs w:val="false"/>
          <w:i w:val="false"/>
          <w:iCs w:val="false"/>
        </w:rPr>
        <w:t xml:space="preserve">Définir à l'avance quels niveaux de sévérité un analyste de Niveau 1/Niveau 2 peut traiter sans validation supplémentaire, et lesquels nécessitent l'aval du Propriétaire de l'Actif ou du Commandant d'Incident. Comme référence par défaut (à ajuster selon l'appétence au risque de l'organisation) :</w:t>
      </w:r>
    </w:p>
    <w:p>
      <w:pPr>
        <w:pStyle w:val="ListParagraph"/>
        <w:numPr>
          <w:ilvl w:val="0"/>
          <w:numId w:val="2"/>
        </w:numPr>
        <w:spacing w:after="80"/>
      </w:pPr>
      <w:r>
        <w:t xml:space="preserve">Critique / Élevé : le Responsable de la Réponse aux Incidents peut engager une action de confinement immédiate (par exemple, isolement réseau, révocation d'identifiants) sans validation préalable, en notifiant le Propriétaire de l'Actif dans la même fenêtre de réponse.</w:t>
      </w:r>
    </w:p>
    <w:p>
      <w:pPr>
        <w:pStyle w:val="ListParagraph"/>
        <w:numPr>
          <w:ilvl w:val="0"/>
          <w:numId w:val="2"/>
        </w:numPr>
        <w:spacing w:after="80"/>
      </w:pPr>
      <w:r>
        <w:t xml:space="preserve">Moyen : l'analyste de Niveau 1 peut appliquer des actions de confinement réversibles pré-approuvées, définies dans un playbook ; toute autre action nécessite la validation du Responsable de la Réponse.</w:t>
      </w:r>
    </w:p>
    <w:p>
      <w:pPr>
        <w:pStyle w:val="ListParagraph"/>
        <w:numPr>
          <w:ilvl w:val="0"/>
          <w:numId w:val="2"/>
        </w:numPr>
        <w:spacing w:after="80"/>
      </w:pPr>
      <w:r>
        <w:t xml:space="preserve">Faible : documenté et surveillé ; aucune action unilatérale au-delà de la journalisation.</w:t>
      </w:r>
    </w:p>
    <w:p>
      <w:pPr>
        <w:pStyle w:val="Heading2"/>
        <w:spacing w:after="140" w:before="280"/>
      </w:pPr>
      <w:r>
        <w:t xml:space="preserve">5.3 Disponibilité des Outils et des Accès</w:t>
      </w:r>
    </w:p>
    <w:p>
      <w:pPr>
        <w:spacing w:after="160"/>
        <w:jc w:val="left"/>
      </w:pPr>
      <w:r>
        <w:rPr>
          <w:b w:val="false"/>
          <w:bCs w:val="false"/>
          <w:i w:val="false"/>
          <w:iCs w:val="false"/>
        </w:rPr>
        <w:t xml:space="preserve">Avant tout incident, confirmer : les outils de réponse sont installés et leurs identifiants/accès sont valides et non sur le point d'expirer ; chaque intervenant dispose déjà des accès nécessaires (non demandés pendant l'incident) ; et une procédure de retour arrière existe pour chaque action de confinement disponible (voir Section 7.4).</w:t>
      </w:r>
    </w:p>
    <w:p>
      <w:pPr>
        <w:pStyle w:val="Heading2"/>
        <w:spacing w:after="140" w:before="280"/>
      </w:pPr>
      <w:r>
        <w:t xml:space="preserve">5.4 Plan de Communication</w:t>
      </w:r>
    </w:p>
    <w:p>
      <w:pPr>
        <w:spacing w:after="160"/>
        <w:jc w:val="left"/>
      </w:pPr>
      <w:r>
        <w:rPr>
          <w:b w:val="false"/>
          <w:bCs w:val="false"/>
          <w:i w:val="false"/>
          <w:iCs w:val="false"/>
        </w:rPr>
        <w:t xml:space="preserve">Maintenir une liste de contacts à jour (intervenants internes, Propriétaires d'Actifs, direction, et — une fois engagé — les contacts d'escalade du prestataire de SOC externe) avec au moins deux canaux par contact (par exemple, téléphone et un canal de messagerie ne dépendant pas d'une messagerie potentiellement compromise).</w:t>
      </w:r>
    </w:p>
    <w:p>
      <w:pPr>
        <w:pStyle w:val="Heading2"/>
        <w:spacing w:after="140" w:before="280"/>
      </w:pPr>
      <w:r>
        <w:t xml:space="preserve">5.5 Tests et Exercices</w:t>
      </w:r>
    </w:p>
    <w:p>
      <w:pPr>
        <w:spacing w:after="160"/>
        <w:jc w:val="left"/>
      </w:pPr>
      <w:r>
        <w:rPr>
          <w:b w:val="false"/>
          <w:bCs w:val="false"/>
          <w:i w:val="false"/>
          <w:iCs w:val="false"/>
        </w:rPr>
        <w:t xml:space="preserve">Un processus jamais exécuté sous pression n'est pas éprouvé. Au minimum :</w:t>
      </w:r>
    </w:p>
    <w:p>
      <w:pPr>
        <w:pStyle w:val="ListParagraph"/>
        <w:numPr>
          <w:ilvl w:val="0"/>
          <w:numId w:val="2"/>
        </w:numPr>
        <w:spacing w:after="80"/>
      </w:pPr>
      <w:r>
        <w:t xml:space="preserve">Réaliser un exercice sur table (un parcours basé sur la discussion, sans toucher aux systèmes réels) pour un playbook par trimestre, en alternant les Annexes A, B et C sur l'année.</w:t>
      </w:r>
    </w:p>
    <w:p>
      <w:pPr>
        <w:pStyle w:val="ListParagraph"/>
        <w:numPr>
          <w:ilvl w:val="0"/>
          <w:numId w:val="2"/>
        </w:numPr>
        <w:spacing w:after="80"/>
      </w:pPr>
      <w:r>
        <w:t xml:space="preserve">Réaliser une simulation complète d'incident chaque année, sur des systèmes de test réels, couvrant la détection jusqu'au rétablissement de bout en bout, incluant un élément non annoncé pour tester le délai de réponse réel plutôt que répété.</w:t>
      </w:r>
    </w:p>
    <w:p>
      <w:pPr>
        <w:pStyle w:val="ListParagraph"/>
        <w:numPr>
          <w:ilvl w:val="0"/>
          <w:numId w:val="2"/>
        </w:numPr>
        <w:spacing w:after="80"/>
      </w:pPr>
      <w:r>
        <w:t xml:space="preserve">Enregistrer le délai réel de réalisation de chaque étape testée par rapport aux objectifs de l'annexe concernée. Une étape systématiquement manquée en exercice le sera aussi en situation réelle — traiter cela comme une lacune de préparation, non comme un échec de formation à noter puis oublier.</w:t>
      </w:r>
    </w:p>
    <w:p>
      <w:pPr>
        <w:pStyle w:val="Heading2"/>
        <w:spacing w:after="140" w:before="280"/>
      </w:pPr>
      <w:r>
        <w:t xml:space="preserve">5.6 Classification des Données et Correspondance avec la Sévérité</w:t>
      </w:r>
    </w:p>
    <w:p>
      <w:pPr>
        <w:spacing w:after="160"/>
        <w:jc w:val="left"/>
      </w:pPr>
      <w:r>
        <w:rPr>
          <w:b w:val="false"/>
          <w:bCs w:val="false"/>
          <w:i w:val="false"/>
          <w:iCs w:val="false"/>
        </w:rPr>
        <w:t xml:space="preserve">La sévérité définie en Section 4 dépend en partie de la criticité de l'actif, laquelle dépend elle-même des données ou de la fonction que porte cet actif. Maintenir un schéma de classification des données (Critique / Confidentiel / Interne / Public, ou l'équivalent existant de l'organisation) et s'assurer que l'inventaire des actifs (Section 5.1) enregistre la classification de chaque actif. Un incident sur un actif classé Critique ou Confidentiel devrait par défaut être d'un niveau de sévérité supérieur au même constat technique sur un actif Interne ou Public, sauf raison spécifique justifiant le contraire — à consigner dans le ticket le cas échéant.</w:t>
      </w:r>
    </w:p>
    <w:p>
      <w:pPr>
        <w:pStyle w:val="Heading2"/>
        <w:spacing w:after="140" w:before="280"/>
      </w:pPr>
      <w:r>
        <w:t xml:space="preserve">5.7 Homologation et Préparation aux Audits Réglementaires</w:t>
      </w:r>
    </w:p>
    <w:p>
      <w:pPr>
        <w:spacing w:after="160"/>
        <w:jc w:val="left"/>
      </w:pPr>
      <w:r>
        <w:rPr>
          <w:b w:val="false"/>
          <w:bCs w:val="false"/>
          <w:i w:val="false"/>
          <w:iCs w:val="false"/>
        </w:rPr>
        <w:t xml:space="preserve">Les systèmes relevant du périmètre d'homologation DGSSI de l'organisation doivent être homologués (formellement autorisés) avant leur mise en production, conformément à la Loi 05-20/DNSSI. Maintenir, dans le cadre de l'inventaire des actifs (Section 5.1), un registre des systèmes concernés par cette exigence, de leur statut d'homologation actuel, et de sa date d'expiration/de renouvellement. Un système dont l'homologation a expiré est traité comme une lacune de préparation nécessitant l'attention du RSSI, et non comme un constat fait seulement lors d'un incident.</w:t>
      </w:r>
    </w:p>
    <w:p>
      <w:pPr>
        <w:pStyle w:val="Heading1"/>
        <w:spacing w:after="200" w:before="400"/>
      </w:pPr>
      <w:r>
        <w:t xml:space="preserve">6. Phase 2 — Détection et Analyse</w:t>
      </w:r>
    </w:p>
    <w:p>
      <w:pPr>
        <w:pStyle w:val="Heading2"/>
        <w:spacing w:after="140" w:before="280"/>
      </w:pPr>
      <w:r>
        <w:t xml:space="preserve">6.1 De l'Événement à l'Incident</w:t>
      </w:r>
    </w:p>
    <w:p>
      <w:pPr>
        <w:spacing w:after="160"/>
        <w:jc w:val="left"/>
      </w:pPr>
      <w:r>
        <w:rPr>
          <w:b w:val="false"/>
          <w:bCs w:val="false"/>
          <w:i w:val="false"/>
          <w:iCs w:val="false"/>
        </w:rPr>
        <w:t xml:space="preserve">Les alertes brutes ne sont pas des incidents. Un événement est élevé au rang d'incident une fois qu'un analyste confirme qu'il représente une activité réellement malveillante ou non conforme, sur la base de : la spécificité de la détection, des preuves corroborantes provenant d'une seconde source indépendante lorsque disponible, et de la plausibilité de l'activité au regard du comportement normal de l'actif.</w:t>
      </w:r>
    </w:p>
    <w:p>
      <w:pPr>
        <w:spacing w:after="160"/>
        <w:jc w:val="left"/>
      </w:pPr>
      <w:r>
        <w:rPr>
          <w:b w:val="false"/>
          <w:bCs w:val="false"/>
          <w:i w:val="false"/>
          <w:iCs w:val="false"/>
        </w:rPr>
        <w:t xml:space="preserve">Corréler plusieurs événements liés à faible confiance en un incident unique à confiance plus élevée (plutôt que traiter chaque alerte isolément) est fortement préférable partout où la plateforme de détection le permet — cela réduit à la fois les faux positifs et la fatigue des analystes, et produit une chronologie plus claire pour la phase Post-Incident.</w:t>
      </w:r>
    </w:p>
    <w:p>
      <w:pPr>
        <w:pStyle w:val="Heading2"/>
        <w:spacing w:after="140" w:before="280"/>
      </w:pPr>
      <w:r>
        <w:t xml:space="preserve">6.2 Liste de Vérification du Tri</w:t>
      </w:r>
    </w:p>
    <w:p>
      <w:pPr>
        <w:pStyle w:val="ListParagraph"/>
        <w:numPr>
          <w:ilvl w:val="0"/>
          <w:numId w:val="3"/>
        </w:numPr>
        <w:spacing w:after="80"/>
      </w:pPr>
      <w:r>
        <w:t xml:space="preserve">Confirmer que le constat n'est pas un faux positif connu ou une activité autorisée (par exemple, test d'intrusion planifié, fenêtre de maintenance).</w:t>
      </w:r>
    </w:p>
    <w:p>
      <w:pPr>
        <w:pStyle w:val="ListParagraph"/>
        <w:numPr>
          <w:ilvl w:val="0"/>
          <w:numId w:val="3"/>
        </w:numPr>
        <w:spacing w:after="80"/>
      </w:pPr>
      <w:r>
        <w:t xml:space="preserve">Identifier le(s) actif(s), compte(s) affecté(s), et, le cas échéant, l'/les adresse(s) IP externe(s) ou indicateur(s) impliqué(s).</w:t>
      </w:r>
    </w:p>
    <w:p>
      <w:pPr>
        <w:pStyle w:val="ListParagraph"/>
        <w:numPr>
          <w:ilvl w:val="0"/>
          <w:numId w:val="3"/>
        </w:numPr>
        <w:spacing w:after="80"/>
      </w:pPr>
      <w:r>
        <w:t xml:space="preserve">Attribuer un niveau de sévérité selon la Section 4.</w:t>
      </w:r>
    </w:p>
    <w:p>
      <w:pPr>
        <w:pStyle w:val="ListParagraph"/>
        <w:numPr>
          <w:ilvl w:val="0"/>
          <w:numId w:val="3"/>
        </w:numPr>
        <w:spacing w:after="80"/>
      </w:pPr>
      <w:r>
        <w:t xml:space="preserve">Enregistrer l'incident dans le système de suivi avec un horodatage — cet horodatage est la base du calcul du MTTD.</w:t>
      </w:r>
    </w:p>
    <w:p>
      <w:pPr>
        <w:pStyle w:val="ListParagraph"/>
        <w:numPr>
          <w:ilvl w:val="0"/>
          <w:numId w:val="3"/>
        </w:numPr>
        <w:spacing w:after="80"/>
      </w:pPr>
      <w:r>
        <w:t xml:space="preserve">Notifier les rôles requis par le niveau de sévérité attribué (Section 5.2).</w:t>
      </w:r>
    </w:p>
    <w:p>
      <w:pPr>
        <w:pStyle w:val="Heading2"/>
        <w:spacing w:after="140" w:before="280"/>
      </w:pPr>
      <w:r>
        <w:t xml:space="preserve">6.3 Traitement des Preuves et Chaîne de Traçabilité</w:t>
      </w:r>
    </w:p>
    <w:p>
      <w:pPr>
        <w:spacing w:after="160"/>
        <w:jc w:val="left"/>
      </w:pPr>
      <w:r>
        <w:rPr>
          <w:b w:val="false"/>
          <w:bCs w:val="false"/>
          <w:i w:val="false"/>
          <w:iCs w:val="false"/>
        </w:rPr>
        <w:t xml:space="preserve">Préserver les données de journalisation d'origine et tout artefact avant d'engager une action susceptible de les altérer ou de les détruire (par exemple, purger un journal pour « nettoyer » avant qu'il n'ait été exporté est une erreur documentée et évitable). Lorsque cela est possible, effectuer une copie ou un export à des fins d'analyse avant le début de la remédiation, et non après.</w:t>
      </w:r>
    </w:p>
    <w:p>
      <w:pPr>
        <w:spacing w:after="160"/>
        <w:jc w:val="left"/>
      </w:pPr>
      <w:r>
        <w:rPr>
          <w:b w:val="false"/>
          <w:bCs w:val="false"/>
          <w:i w:val="false"/>
          <w:iCs w:val="false"/>
        </w:rPr>
        <w:t xml:space="preserve">Pour tout incident classé Élevé ou Critique, ou tout incident susceptible d'entraîner une action disciplinaire, légale ou judiciaire, maintenir un registre de chaîne de traçabilité pour chaque élément de preuve collecté. Ce registre doit accompagner la preuve et être mis à jour à chaque changement de détenteur ou de lieu — une lacune dans le registre est traitée comme une atteinte potentielle à l'intégrité de la preuve elle-même.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2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Champ</w:t>
            </w:r>
          </w:p>
        </w:tc>
        <w:tc>
          <w:tcPr>
            <w:tcW w:type="dxa" w:w="7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Enregistré Comme</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Description de l'élément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Ce qui a été collecté (par exemple, image disque, export de journaux, capture mémoire) et depuis quel actif.</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Collecté par</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Nom et rôle de la personne ayant effectué la collecte.</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Date/heure de collecte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Horodatage, fuseau horaire inclus.</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Méthode de collecte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Outil et méthode utilisés (par exemple, image disque avec bloqueur d'écriture via …), afin que l'intégrité puisse être évaluée ultérieurement.</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Contrôle d'intégrité</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Une empreinte cryptographique (par exemple, SHA256) de la preuve prise au moment de la collecte, pour détecter toute altération ultérieure.</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Lieu de conservation</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Où la preuve est conservée (physique ou logique), et son paramétrage de contrôle d'accès.</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Transferts</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Chaque remise de la preuve à une autre personne ou système : à qui, quand, et pourquoi — chacune consignée comme une nouvelle ligne.</w:t>
            </w:r>
          </w:p>
        </w:tc>
      </w:tr>
    </w:tbl>
    <w:p>
      <w:pPr>
        <w:pStyle w:val="Heading1"/>
        <w:spacing w:after="200" w:before="400"/>
      </w:pPr>
      <w:r>
        <w:t xml:space="preserve">7. Phase 3 — Confinement, Éradication et Rétablissement</w:t>
      </w:r>
    </w:p>
    <w:p>
      <w:pPr>
        <w:pStyle w:val="Heading2"/>
        <w:spacing w:after="140" w:before="280"/>
      </w:pPr>
      <w:r>
        <w:t xml:space="preserve">7.1 Choix de la Stratégie de Confinement</w:t>
      </w:r>
    </w:p>
    <w:p>
      <w:pPr>
        <w:spacing w:after="160"/>
        <w:jc w:val="left"/>
      </w:pPr>
      <w:r>
        <w:rPr>
          <w:b w:val="false"/>
          <w:bCs w:val="false"/>
          <w:i w:val="false"/>
          <w:iCs w:val="false"/>
        </w:rPr>
        <w:t xml:space="preserve">Choisir une approche de confinement adaptée à la sévérité de l'incident et à la criticité métier de l'actif. Options courantes, classées approximativement de la moins à la plus perturbatrice :</w:t>
      </w:r>
    </w:p>
    <w:p>
      <w:pPr>
        <w:pStyle w:val="ListParagraph"/>
        <w:numPr>
          <w:ilvl w:val="0"/>
          <w:numId w:val="2"/>
        </w:numPr>
        <w:spacing w:after="80"/>
      </w:pPr>
      <w:r>
        <w:t xml:space="preserve">Surveillance renforcée uniquement (pour une sévérité Faible, ou pendant la collecte de preuves supplémentaires)</w:t>
      </w:r>
    </w:p>
    <w:p>
      <w:pPr>
        <w:pStyle w:val="ListParagraph"/>
        <w:numPr>
          <w:ilvl w:val="0"/>
          <w:numId w:val="2"/>
        </w:numPr>
        <w:spacing w:after="80"/>
      </w:pPr>
      <w:r>
        <w:t xml:space="preserve">Confinement réseau : bloquer une IP/un domaine malveillant en périphérie, sans toucher à l'hôte affecté</w:t>
      </w:r>
    </w:p>
    <w:p>
      <w:pPr>
        <w:pStyle w:val="ListParagraph"/>
        <w:numPr>
          <w:ilvl w:val="0"/>
          <w:numId w:val="2"/>
        </w:numPr>
        <w:spacing w:after="80"/>
      </w:pPr>
      <w:r>
        <w:t xml:space="preserve">Confinement au niveau de l'hôte : terminer un processus malveillant, désactiver un compte compromis, ou isoler l'hôte du réseau</w:t>
      </w:r>
    </w:p>
    <w:p>
      <w:pPr>
        <w:pStyle w:val="ListParagraph"/>
        <w:numPr>
          <w:ilvl w:val="0"/>
          <w:numId w:val="2"/>
        </w:numPr>
        <w:spacing w:after="80"/>
      </w:pPr>
      <w:r>
        <w:t xml:space="preserve">Isolement complet ou arrêt (pour les incidents Critiques où la poursuite de l'exploitation risque d'aggraver la perte)</w:t>
      </w:r>
    </w:p>
    <w:p>
      <w:pPr>
        <w:spacing w:after="160"/>
        <w:jc w:val="left"/>
      </w:pPr>
      <w:r>
        <w:rPr>
          <w:b w:val="false"/>
          <w:bCs w:val="false"/>
          <w:i w:val="false"/>
          <w:iCs w:val="false"/>
        </w:rPr>
        <w:t xml:space="preserve">Privilégier l'option la moins perturbatrice qui stoppe réellement l'activité ; n'escalader vers une option plus perturbatrice que si la précédente échoue ou si la sévérité ne permet pas le délai.</w:t>
      </w:r>
    </w:p>
    <w:p>
      <w:pPr>
        <w:pStyle w:val="Heading2"/>
        <w:spacing w:after="140" w:before="280"/>
      </w:pPr>
      <w:r>
        <w:t xml:space="preserve">7.2 Réponse Automatisée vs. Manuelle</w:t>
      </w:r>
    </w:p>
    <w:p>
      <w:pPr>
        <w:spacing w:after="160"/>
        <w:jc w:val="left"/>
      </w:pPr>
      <w:r>
        <w:rPr>
          <w:b w:val="false"/>
          <w:bCs w:val="false"/>
          <w:i w:val="false"/>
          <w:iCs w:val="false"/>
        </w:rPr>
        <w:t xml:space="preserve">Lorsqu'une capacité de réponse automatisée existe (par exemple, un outil d'orchestration capable de bloquer une IP ou de terminer un processus sur commande), elle doit être utilisée pour réduire le délai de réponse dans les scénarios bien compris et peu ambigus, sous réserve des seuils d'autorité de la Section 5.2. Les actions automatisées doivent néanmoins être journalisées et rester réversibles — l'automatisation ne doit pas contourner les exigences d'audit et de vérification ci-dessous.</w:t>
      </w:r>
    </w:p>
    <w:p>
      <w:pPr>
        <w:spacing w:after="160"/>
        <w:jc w:val="left"/>
      </w:pPr>
      <w:r>
        <w:rPr>
          <w:b w:val="false"/>
          <w:bCs w:val="false"/>
          <w:i w:val="false"/>
          <w:iCs w:val="false"/>
        </w:rPr>
        <w:t xml:space="preserve">Les playbooks de ce document (Annexes A à C) sont rédigés pour qu'un analyste humain les lise et les exécute directement. Si l'organisation adopte une plateforme SOAR (Security Orchestration, Automation and Response), les flux d'automatisation de cette plateforme doivent être construits en traduisant les étapes pertinentes ci-dessous dans le format propre à cette plateforme — ce document reste la source de vérité à partir de laquelle l'automatisation est construite et validée, et non un document que l'automatisation remplace. Le responsable de cette traduction (typiquement un ingénieur automatisation ou la fonction ingénierie du prestataire de SOC) est chargé de maintenir le flux automatisé synchronisé à chaque évolution des étapes de ce document.</w:t>
      </w:r>
    </w:p>
    <w:p>
      <w:pPr>
        <w:pStyle w:val="Heading2"/>
        <w:spacing w:after="140" w:before="280"/>
      </w:pPr>
      <w:r>
        <w:t xml:space="preserve">7.3 Vérification</w:t>
      </w:r>
    </w:p>
    <w:p>
      <w:pPr>
        <w:spacing w:after="160"/>
        <w:jc w:val="left"/>
      </w:pPr>
      <w:r>
        <w:rPr>
          <w:b w:val="false"/>
          <w:bCs w:val="false"/>
          <w:i w:val="false"/>
          <w:iCs w:val="false"/>
        </w:rPr>
        <w:t xml:space="preserve">Chaque action de confinement doit être vérifiée comme ayant réellement produit son effet, et non simplement supposée efficace parce que l'outil a signalé un succès. La vérification doit utiliser une méthode indépendante de l'action elle-même — par exemple, confirmer un blocage réseau en tentant le trafic bloqué et en observant son échec, plutôt que de se fier uniquement à la réponse de l'API du pare-feu.</w:t>
      </w:r>
    </w:p>
    <w:p>
      <w:pPr>
        <w:pStyle w:val="Heading2"/>
        <w:spacing w:after="140" w:before="280"/>
      </w:pPr>
      <w:r>
        <w:t xml:space="preserve">7.4 Réversibilité</w:t>
      </w:r>
    </w:p>
    <w:p>
      <w:pPr>
        <w:spacing w:after="160"/>
        <w:jc w:val="left"/>
      </w:pPr>
      <w:r>
        <w:rPr>
          <w:b w:val="false"/>
          <w:bCs w:val="false"/>
          <w:i w:val="false"/>
          <w:iCs w:val="false"/>
        </w:rPr>
        <w:t xml:space="preserve">Chaque action de confinement doit disposer d'une procédure de réversion documentée et testée, et la réversion elle-même doit être vérifiée (par exemple, confirmer qu'une adresse précédemment bloquée peut à nouveau communiquer une fois légitimement débloquée). Une action ne pouvant pas être annulée de manière sûre ne doit pas être utilisée comme mesure de confinement de première intention.</w:t>
      </w:r>
    </w:p>
    <w:p>
      <w:pPr>
        <w:pStyle w:val="Heading2"/>
        <w:spacing w:after="140" w:before="280"/>
      </w:pPr>
      <w:r>
        <w:t xml:space="preserve">7.5 Éradication et Rétablissement</w:t>
      </w:r>
    </w:p>
    <w:p>
      <w:pPr>
        <w:spacing w:after="160"/>
        <w:jc w:val="left"/>
      </w:pPr>
      <w:r>
        <w:rPr>
          <w:b w:val="false"/>
          <w:bCs w:val="false"/>
          <w:i w:val="false"/>
          <w:iCs w:val="false"/>
        </w:rPr>
        <w:t xml:space="preserve">Une fois le confinement effectif, supprimer la cause racine (logiciel malveillant, accès non autorisé, vulnérabilité exploitée) et restaurer les systèmes affectés dans un état sain connu lorsque possible. Ne pas remettre un système en production avant confirmation de la suppression de la cause racine — restaurer un système compromis sans éradication entraîne généralement une réinfection.</w:t>
      </w:r>
    </w:p>
    <w:p>
      <w:pPr>
        <w:pStyle w:val="Heading1"/>
        <w:spacing w:after="200" w:before="400"/>
      </w:pPr>
      <w:r>
        <w:t xml:space="preserve">8. Phase 4 — Activité Post-Incident</w:t>
      </w:r>
    </w:p>
    <w:p>
      <w:pPr>
        <w:pStyle w:val="Heading2"/>
        <w:spacing w:after="140" w:before="280"/>
      </w:pPr>
      <w:r>
        <w:t xml:space="preserve">8.1 Piste d'Audit</w:t>
      </w:r>
    </w:p>
    <w:p>
      <w:pPr>
        <w:spacing w:after="160"/>
        <w:jc w:val="left"/>
      </w:pPr>
      <w:r>
        <w:rPr>
          <w:b w:val="false"/>
          <w:bCs w:val="false"/>
          <w:i w:val="false"/>
          <w:iCs w:val="false"/>
        </w:rPr>
        <w:t xml:space="preserve">Chaque incident doit laisser un enregistrement complet : la détection d'origine, la chronologie de l'analyse et des actions engagées, qui a autorisé chaque action, et le résultat. Cet enregistrement constitue la preuve principale utilisée dans la revue ci-dessous, et peut également être requis à des fins réglementaires ou légales selon le type d'incident.</w:t>
      </w:r>
    </w:p>
    <w:p>
      <w:pPr>
        <w:pStyle w:val="Heading2"/>
        <w:spacing w:after="140" w:before="280"/>
      </w:pPr>
      <w:r>
        <w:t xml:space="preserve">8.2 Revue Post-Incident</w:t>
      </w:r>
    </w:p>
    <w:p>
      <w:pPr>
        <w:spacing w:after="160"/>
        <w:jc w:val="left"/>
      </w:pPr>
      <w:r>
        <w:rPr>
          <w:b w:val="false"/>
          <w:bCs w:val="false"/>
          <w:i w:val="false"/>
          <w:iCs w:val="false"/>
        </w:rPr>
        <w:t xml:space="preserve">Pour tout incident de sévérité Moyenne ou supérieure, mener une brève revue dans les 5 jours ouvrés couvrant : ce qui a fonctionné, ce qui n'a pas fonctionné, si la classification de sévérité et les objectifs de délai de réponse étaient réalistes, et si une lacune de préparation (Section 5) a contribué à un retard. Il s'agit d'un exercice d'amélioration du processus, non d'une évaluation du personnel — le présenter autrement décourage un signalement honnête.</w:t>
      </w:r>
    </w:p>
    <w:p>
      <w:pPr>
        <w:pStyle w:val="Heading2"/>
        <w:spacing w:after="140" w:before="280"/>
      </w:pPr>
      <w:r>
        <w:t xml:space="preserve">8.3 Indicateurs</w:t>
      </w:r>
    </w:p>
    <w:p>
      <w:pPr>
        <w:spacing w:after="160"/>
        <w:jc w:val="left"/>
      </w:pPr>
      <w:r>
        <w:rPr>
          <w:b w:val="false"/>
          <w:bCs w:val="false"/>
          <w:i w:val="false"/>
          <w:iCs w:val="false"/>
        </w:rPr>
        <w:t xml:space="preserve">Suivre les éléments suivants dans le temps, à la fois par incident et de manière agrégée :</w:t>
      </w:r>
    </w:p>
    <w:p>
      <w:pPr>
        <w:pStyle w:val="ListParagraph"/>
        <w:numPr>
          <w:ilvl w:val="0"/>
          <w:numId w:val="2"/>
        </w:numPr>
        <w:spacing w:after="80"/>
      </w:pPr>
      <w:r>
        <w:t xml:space="preserve">MTTD (Délai Moyen de Détection) : délai entre le début réel de l'activité et sa première détection.</w:t>
      </w:r>
    </w:p>
    <w:p>
      <w:pPr>
        <w:pStyle w:val="ListParagraph"/>
        <w:numPr>
          <w:ilvl w:val="0"/>
          <w:numId w:val="2"/>
        </w:numPr>
        <w:spacing w:after="80"/>
      </w:pPr>
      <w:r>
        <w:t xml:space="preserve">MTTR (Délai Moyen de Réponse) : délai entre la détection et le confinement effectif.</w:t>
      </w:r>
    </w:p>
    <w:p>
      <w:pPr>
        <w:pStyle w:val="ListParagraph"/>
        <w:numPr>
          <w:ilvl w:val="0"/>
          <w:numId w:val="2"/>
        </w:numPr>
        <w:spacing w:after="80"/>
      </w:pPr>
      <w:r>
        <w:t xml:space="preserve">Taux de récurrence : incidents de même cause racine se reproduisant après une clôture antérieure.</w:t>
      </w:r>
    </w:p>
    <w:p>
      <w:pPr>
        <w:pStyle w:val="ListParagraph"/>
        <w:numPr>
          <w:ilvl w:val="0"/>
          <w:numId w:val="2"/>
        </w:numPr>
        <w:spacing w:after="80"/>
      </w:pPr>
      <w:r>
        <w:t xml:space="preserve">Taux de faux positifs : proportion d'événements triés ne représentant pas d'incidents réels.</w:t>
      </w:r>
    </w:p>
    <w:p>
      <w:pPr>
        <w:spacing w:after="160"/>
        <w:jc w:val="left"/>
      </w:pPr>
      <w:r>
        <w:rPr>
          <w:b w:val="false"/>
          <w:bCs w:val="false"/>
          <w:i w:val="false"/>
          <w:iCs w:val="false"/>
        </w:rPr>
        <w:t xml:space="preserve">Ces indicateurs doivent alimenter la phase de Préparation du cycle suivant — une cause racine récurrente ou un objectif de délai de réponse systématiquement manqué est un signal pour revoir les outils, les effectifs, ou le playbook lui-même, et non simplement pour « faire mieux la prochaine fois ».</w:t>
      </w:r>
    </w:p>
    <w:p>
      <w:pPr>
        <w:pStyle w:val="Heading1"/>
        <w:spacing w:after="200" w:before="400"/>
      </w:pPr>
      <w:r>
        <w:t xml:space="preserve">9. Transition vers un Prestataire de SOC Externe</w:t>
      </w:r>
    </w:p>
    <w:p>
      <w:pPr>
        <w:pStyle w:val="Heading2"/>
        <w:spacing w:after="140" w:before="280"/>
      </w:pPr>
      <w:r>
        <w:t xml:space="preserve">9.1 Liste de Vérification de Préparation à la Passation</w:t>
      </w:r>
    </w:p>
    <w:p>
      <w:pPr>
        <w:spacing w:after="160"/>
        <w:jc w:val="left"/>
      </w:pPr>
      <w:r>
        <w:rPr>
          <w:b w:val="false"/>
          <w:bCs w:val="false"/>
          <w:i w:val="false"/>
          <w:iCs w:val="false"/>
        </w:rPr>
        <w:t xml:space="preserve">Une fois opérationnel, le SOC externe assume les fonctions de Niveau 1/Niveau 2 décrites en Section 3, en opérant selon ce même processus et les seuils de sévérité de la Section 4. Avant la mise en service, confirmer :</w:t>
      </w:r>
    </w:p>
    <w:p>
      <w:pPr>
        <w:pStyle w:val="ListParagraph"/>
        <w:numPr>
          <w:ilvl w:val="0"/>
          <w:numId w:val="2"/>
        </w:numPr>
        <w:spacing w:after="80"/>
      </w:pPr>
      <w:r>
        <w:t xml:space="preserve">Le prestataire dispose d'un accès en lecture à chaque source de journalisation listée dans l'inventaire des actifs (Section 5.1).</w:t>
      </w:r>
    </w:p>
    <w:p>
      <w:pPr>
        <w:pStyle w:val="ListParagraph"/>
        <w:numPr>
          <w:ilvl w:val="0"/>
          <w:numId w:val="2"/>
        </w:numPr>
        <w:spacing w:after="80"/>
      </w:pPr>
      <w:r>
        <w:t xml:space="preserve">La liste de contacts d'escalade (Section 5.4) inclut le canal d'astreinte du prestataire, et la propre liste d'escalade du prestataire inclut les contacts internes de l'organisation.</w:t>
      </w:r>
    </w:p>
    <w:p>
      <w:pPr>
        <w:pStyle w:val="ListParagraph"/>
        <w:numPr>
          <w:ilvl w:val="0"/>
          <w:numId w:val="2"/>
        </w:numPr>
        <w:spacing w:after="80"/>
      </w:pPr>
      <w:r>
        <w:t xml:space="preserve">Les seuils d'autorité de la Section 5.2 sont reflétés dans l'Accord de Niveau de Service (Section 9.2), y compris les actions que le prestataire peut engager unilatéralement par rapport à celles nécessitant une validation interne.</w:t>
      </w:r>
    </w:p>
    <w:p>
      <w:pPr>
        <w:pStyle w:val="ListParagraph"/>
        <w:numPr>
          <w:ilvl w:val="0"/>
          <w:numId w:val="2"/>
        </w:numPr>
        <w:spacing w:after="80"/>
      </w:pPr>
      <w:r>
        <w:t xml:space="preserve">Un incident test conjoint est réalisé avant la passation complète, afin de valider la passation en pratique et non seulement sur le papier.</w:t>
      </w:r>
    </w:p>
    <w:p>
      <w:pPr>
        <w:pStyle w:val="Heading2"/>
        <w:spacing w:after="140" w:before="280"/>
      </w:pPr>
      <w:r>
        <w:t xml:space="preserve">9.2 Base de l'Accord de Niveau de Service</w:t>
      </w:r>
    </w:p>
    <w:p>
      <w:pPr>
        <w:spacing w:after="160"/>
        <w:jc w:val="left"/>
      </w:pPr>
      <w:r>
        <w:rPr>
          <w:b w:val="false"/>
          <w:bCs w:val="false"/>
          <w:i w:val="false"/>
          <w:iCs w:val="false"/>
        </w:rPr>
        <w:t xml:space="preserve">Les chiffres ci-dessous constituent une base de départ pour la négociation de l'ANS avec un prestataire, alignée sur les objectifs de sévérité de la Section 4. Les chiffres contractuels définitifs, les clauses de pénalité, et le format de reporting doivent être convenus et documentés dans l'ANS effectivement signé — le tableau ci-dessous ne se substitue pas à ce contrat.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rPr>
        <w:tc>
          <w:tcPr>
            <w:tcW w:type="dxa" w:w="1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Sévérité</w:t>
            </w:r>
          </w:p>
        </w:tc>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Accusé de Réception</w:t>
            </w:r>
          </w:p>
        </w:tc>
        <w:tc>
          <w:tcPr>
            <w:tcW w:type="dxa" w:w="2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Fréquence de Mise à Jour</w:t>
            </w:r>
          </w:p>
        </w:tc>
        <w:tc>
          <w:tcPr>
            <w:tcW w:type="dxa" w:w="19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Confinement Cible</w:t>
            </w:r>
          </w:p>
        </w:tc>
        <w:tc>
          <w:tcPr>
            <w:tcW w:type="dxa" w:w="1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Reporting</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Critique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&lt; 15 min</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Toutes les 30 min jusqu'au confinement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&lt; 1 heure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Rapport écrit sous 24h</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Élevé</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&lt; 30 min</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Toutes les heures jusqu'au confinement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&lt; 4 heures</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Rapport écrit sous 48h</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Moyen</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&lt; 1 heure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Toutes les 4 heures</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&lt; 1 jour ouvré</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Inclus dans le résumé hebdomadaire</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Faible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&lt; 1 jour ouvré</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À la clôture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Meilleur effort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Inclus dans le résumé mensuel</w:t>
            </w:r>
          </w:p>
        </w:tc>
      </w:tr>
    </w:tbl>
    <w:p>
      <w:pPr>
        <w:pStyle w:val="Heading1"/>
        <w:spacing w:after="200" w:before="400"/>
      </w:pPr>
      <w:r>
        <w:t xml:space="preserve">10. Procédure de Passation de Service</w:t>
      </w:r>
    </w:p>
    <w:p>
      <w:pPr>
        <w:spacing w:after="160"/>
        <w:jc w:val="left"/>
      </w:pPr>
      <w:r>
        <w:rPr>
          <w:b w:val="false"/>
          <w:bCs w:val="false"/>
          <w:i w:val="false"/>
          <w:iCs w:val="false"/>
        </w:rPr>
        <w:t xml:space="preserve">Pour tout incident encore ouvert en fin de service — que la passation ait lieu entre équipes internes ou entre l'équipe interne et le SOC externe — l'analyste sortant doit accomplir ce qui suit avant de quitter son poste :</w:t>
      </w:r>
    </w:p>
    <w:p>
      <w:pPr>
        <w:pStyle w:val="ListParagraph"/>
        <w:numPr>
          <w:ilvl w:val="0"/>
          <w:numId w:val="2"/>
        </w:numPr>
        <w:spacing w:after="80"/>
      </w:pPr>
      <w:r>
        <w:t xml:space="preserve">Mettre à jour le ticket d'incident avec le statut actuel, la dernière action engagée, et son résultat, afin que l'enregistrement lui-même — pas seulement une passation orale — reflète l'état réel actuel.</w:t>
      </w:r>
    </w:p>
    <w:p>
      <w:pPr>
        <w:pStyle w:val="ListParagraph"/>
        <w:numPr>
          <w:ilvl w:val="0"/>
          <w:numId w:val="2"/>
        </w:numPr>
        <w:spacing w:after="80"/>
      </w:pPr>
      <w:r>
        <w:t xml:space="preserve">Indiquer explicitement quelle est la prochaine action et à quelle étape du playbook elle correspond, afin que l'analyste entrant n'ait pas à reconstituer où la réponse s'est arrêtée.</w:t>
      </w:r>
    </w:p>
    <w:p>
      <w:pPr>
        <w:pStyle w:val="ListParagraph"/>
        <w:numPr>
          <w:ilvl w:val="0"/>
          <w:numId w:val="2"/>
        </w:numPr>
        <w:spacing w:after="80"/>
      </w:pPr>
      <w:r>
        <w:t xml:space="preserve">Effectuer une passation en direct (appel ou équivalent) pour tout incident classé Élevé ou Critique — une simple mise à jour du ticket ne suffit pas pour ceux-ci ; l'analyste entrant doit confirmer verbalement sa compréhension de l'état actuel avant que l'analyste sortant ne se décharge.</w:t>
      </w:r>
    </w:p>
    <w:p>
      <w:pPr>
        <w:pStyle w:val="ListParagraph"/>
        <w:numPr>
          <w:ilvl w:val="0"/>
          <w:numId w:val="2"/>
        </w:numPr>
        <w:spacing w:after="80"/>
      </w:pPr>
      <w:r>
        <w:t xml:space="preserve">Consigner la passation elle-même dans le ticket : qui a transmis, qui a reçu, et à quelle heure.</w:t>
      </w:r>
    </w:p>
    <w:p>
      <w:pPr>
        <w:spacing w:after="160"/>
        <w:jc w:val="left"/>
      </w:pPr>
      <w:r>
        <w:rPr>
          <w:b w:val="false"/>
          <w:bCs w:val="false"/>
          <w:i w:val="false"/>
          <w:iCs w:val="false"/>
        </w:rPr>
        <w:t xml:space="preserve">Un incident ne doit jamais être laissé dans un état où le responsable actuel est ambigu. Si l'équipe entrante ne dispose pas d'un analyste qualifié disponible pour recevoir une passation Élevée ou Critique, l'analyste sortant escalade vers le Commandant d'Incident avant de terminer son service, plutôt que de laisser l'incident sans responsable.</w:t>
      </w:r>
    </w:p>
    <w:p>
      <w:pPr>
        <w:pStyle w:val="Heading1"/>
        <w:spacing w:after="200" w:before="400"/>
      </w:pPr>
      <w:r>
        <w:t xml:space="preserve">11. Notification Légale et Réglementaire</w:t>
      </w:r>
    </w:p>
    <w:p>
      <w:pPr>
        <w:spacing w:after="160"/>
        <w:jc w:val="left"/>
      </w:pPr>
      <w:r>
        <w:rPr>
          <w:b w:val="false"/>
          <w:bCs w:val="false"/>
          <w:i w:val="false"/>
          <w:iCs w:val="false"/>
        </w:rPr>
        <w:t xml:space="preserve">L'organisation opère sous le droit marocain et entretient une relation avec la DGSSI (Direction Générale de la Sécurité des Systèmes d'Information). Deux filières juridiques distinctes s'appliquent, régies par des lois et des régulateurs différents — elles ne doivent pas être confondues, car elles ont des déclencheurs, des interlocuteurs, et (lorsque connus) des délais différents.</w:t>
      </w:r>
    </w:p>
    <w:p>
      <w:pPr>
        <w:pStyle w:val="Heading2"/>
        <w:spacing w:after="140" w:before="280"/>
      </w:pPr>
      <w:r>
        <w:t xml:space="preserve">11.1 Déclaration d'Incident de Cybersécurité — DGSSI (Loi 05-20 / DNSSI)</w:t>
      </w:r>
    </w:p>
    <w:p>
      <w:pPr>
        <w:spacing w:after="160"/>
        <w:jc w:val="left"/>
      </w:pPr>
      <w:r>
        <w:rPr>
          <w:b w:val="false"/>
          <w:bCs w:val="false"/>
          <w:i w:val="false"/>
          <w:iCs w:val="false"/>
        </w:rPr>
        <w:t xml:space="preserve">La Loi 05-20 et sa mise en œuvre technique, la Directive Nationale de la Sécurité des Systèmes d'Information (DNSSI), imposent aux entités relevant de leur périmètre — administrations d'État, établissements publics, et opérateurs d'infrastructures d'importance vitale (IIV), catégorie dans laquelle le rôle d'autorité de certification de l'organisation peut la placer — de déclarer à la DGSSI les incidents de sécurité des systèmes d'information significatifs, et de désigner un RSSI comme interlocuteur officiel à cet effet. Parallèlement, compte tenu du rôle de l'organisation dans l'émission de certificats électroniques, la Loi 43-20 relative aux services de confiance électroniques est également pertinente et relève elle aussi du périmètre de la DGSSI.</w:t>
      </w:r>
    </w:p>
    <w:p>
      <w:pPr>
        <w:pStyle w:val="ListParagraph"/>
        <w:numPr>
          <w:ilvl w:val="0"/>
          <w:numId w:val="2"/>
        </w:numPr>
        <w:spacing w:after="80"/>
      </w:pPr>
      <w:r>
        <w:t xml:space="preserve">Déclencheur : tout incident classé Élevé ou Critique selon la Section 4, et tout incident affectant un système couvert par le dossier d'homologation DGSSI de l'organisation, est escaladé vers le RSSI pour décision de déclaration — indépendamment du fait que l'incident implique également des données personnelles (voir Section 11.2).</w:t>
      </w:r>
    </w:p>
    <w:p>
      <w:pPr>
        <w:pStyle w:val="ListParagraph"/>
        <w:numPr>
          <w:ilvl w:val="0"/>
          <w:numId w:val="2"/>
        </w:numPr>
        <w:spacing w:after="80"/>
      </w:pPr>
      <w:r>
        <w:t xml:space="preserve">Canal de déclaration : le RSSI déclare à la DGSSI (et, le cas échéant, coordonne avec le maCERT, le centre national de coordination de réponse aux incidents de la DGSSI) selon le canal et le format spécifiés dans le dossier d'homologation de l'organisation.</w:t>
      </w:r>
    </w:p>
    <w:p>
      <w:pPr>
        <w:pStyle w:val="ListParagraph"/>
        <w:numPr>
          <w:ilvl w:val="0"/>
          <w:numId w:val="2"/>
        </w:numPr>
        <w:spacing w:after="80"/>
      </w:pPr>
      <w:r>
        <w:t xml:space="preserve">Délai : la DGSSI ne publie pas un délai fixe universel applicable à toute entité — le délai exact de déclaration est fixé dans le dossier d'homologation spécifique de l'organisation et la mise en œuvre sectorielle de la DNSSI. Ceci doit être confirmé directement auprès du RSSI et tenu à jour lors de la prochaine révision de ce document une fois confirmé ; ne pas présumer d'un délai n'ayant pas été explicitement vérifié.</w:t>
      </w:r>
    </w:p>
    <w:p>
      <w:pPr>
        <w:pStyle w:val="Heading2"/>
        <w:spacing w:after="140" w:before="280"/>
      </w:pPr>
      <w:r>
        <w:t xml:space="preserve">11.2 Notification de Violation de Données Personnelles — CNDP (Loi 09-08)</w:t>
      </w:r>
    </w:p>
    <w:p>
      <w:pPr>
        <w:spacing w:after="160"/>
        <w:jc w:val="left"/>
      </w:pPr>
      <w:r>
        <w:rPr>
          <w:b w:val="false"/>
          <w:bCs w:val="false"/>
          <w:i w:val="false"/>
          <w:iCs w:val="false"/>
        </w:rPr>
        <w:t xml:space="preserve">La Loi 09-08, supervisée par la Commission Nationale de contrôle de la protection des Données à caractère Personnel (CNDP), constitue une filière juridique distincte s'appliquant dès lors qu'un incident implique des données personnelles, indépendamment du fait qu'il déclenche également la filière DGSSI ci-dessus.</w:t>
      </w:r>
    </w:p>
    <w:p>
      <w:pPr>
        <w:pStyle w:val="ListParagraph"/>
        <w:numPr>
          <w:ilvl w:val="0"/>
          <w:numId w:val="2"/>
        </w:numPr>
        <w:spacing w:after="80"/>
      </w:pPr>
      <w:r>
        <w:t xml:space="preserve">Déclencheur : tout incident confirmé impliquant un accès non autorisé à, ou une exposition de, données personnelles (données personnelles de clients, d'employés, ou de porteurs de certificats) est escaladé immédiatement vers le Service Juridique/Conformité et le RSSI.</w:t>
      </w:r>
    </w:p>
    <w:p>
      <w:pPr>
        <w:pStyle w:val="ListParagraph"/>
        <w:numPr>
          <w:ilvl w:val="0"/>
          <w:numId w:val="2"/>
        </w:numPr>
        <w:spacing w:after="80"/>
      </w:pPr>
      <w:r>
        <w:t xml:space="preserve">Délai : un délai de notification de 72 heures est couramment cité dans les recommandations professionnelles actuelles relatives à la notification de violation au titre de la Loi 09-08, comparable dans son esprit au RGPD européen — ce document traite ce chiffre comme une hypothèse de travail, non comme une citation statutaire confirmée, et la fonction Juridique/Conformité de l'organisation doit vérifier le libellé exact et actuel de l'obligation et confirmer ou corriger ce chiffre lors de la prochaine révision.</w:t>
      </w:r>
    </w:p>
    <w:p>
      <w:pPr>
        <w:pStyle w:val="ListParagraph"/>
        <w:numPr>
          <w:ilvl w:val="0"/>
          <w:numId w:val="2"/>
        </w:numPr>
        <w:spacing w:after="80"/>
      </w:pPr>
      <w:r>
        <w:t xml:space="preserve">Les deux filières (11.1 et 11.2) peuvent s'appliquer simultanément au même incident — l'une n'exempte pas de l'autre.</w:t>
      </w:r>
    </w:p>
    <w:p>
      <w:pPr>
        <w:pStyle w:val="Heading2"/>
        <w:spacing w:after="140" w:before="280"/>
      </w:pPr>
      <w:r>
        <w:t xml:space="preserve">11.3 Processus de Décision et d'Enregistrement</w:t>
      </w:r>
    </w:p>
    <w:p>
      <w:pPr>
        <w:pStyle w:val="ListParagraph"/>
        <w:numPr>
          <w:ilvl w:val="0"/>
          <w:numId w:val="2"/>
        </w:numPr>
        <w:spacing w:after="80"/>
      </w:pPr>
      <w:r>
        <w:t xml:space="preserve">Étape 1 : le Niveau 1/Niveau 2 identifie si la Section 11.1, la Section 11.2, les deux, ou aucune ne s'appliquent, selon la nature de l'incident et les données/systèmes concernés.</w:t>
      </w:r>
    </w:p>
    <w:p>
      <w:pPr>
        <w:pStyle w:val="ListParagraph"/>
        <w:numPr>
          <w:ilvl w:val="0"/>
          <w:numId w:val="2"/>
        </w:numPr>
        <w:spacing w:after="80"/>
      </w:pPr>
      <w:r>
        <w:t xml:space="preserve">Étape 2 : le RSSI et/ou le Service Juridique/Conformité confirme la/les filière(s) applicable(s), le délai exact actuel, et le contenu de déclaration requis.</w:t>
      </w:r>
    </w:p>
    <w:p>
      <w:pPr>
        <w:pStyle w:val="ListParagraph"/>
        <w:numPr>
          <w:ilvl w:val="0"/>
          <w:numId w:val="2"/>
        </w:numPr>
        <w:spacing w:after="80"/>
      </w:pPr>
      <w:r>
        <w:t xml:space="preserve">Étape 3 : le RSSI (pour la DGSSI) ou le Service Juridique/Conformité (pour la CNDP) assume la transmission de la déclaration effective ; le rôle de l'équipe de réponse aux incidents est de fournir la chronologie technique factuelle et le périmètre nécessaires, non de rédiger ou d'envoyer la notification réglementaire elle-même.</w:t>
      </w:r>
    </w:p>
    <w:p>
      <w:pPr>
        <w:pStyle w:val="ListParagraph"/>
        <w:numPr>
          <w:ilvl w:val="0"/>
          <w:numId w:val="2"/>
        </w:numPr>
        <w:spacing w:after="80"/>
      </w:pPr>
      <w:r>
        <w:t xml:space="preserve">Étape 4 : la décision, la/les filière(s) appliquée(s), et l'heure effective de soumission sont enregistrées dans le ticket d'incident, à des fins d'audit et de preuve de conformité de ce document au titre de l'ISO/IEC 27001 (voir Annexe E).</w:t>
      </w:r>
    </w:p>
    <w:p>
      <w:pPr>
        <w:spacing w:after="160"/>
        <w:jc w:val="left"/>
      </w:pPr>
      <w:r>
        <w:rPr>
          <w:b w:val="false"/>
          <w:bCs w:val="false"/>
          <w:i w:val="false"/>
          <w:iCs w:val="false"/>
        </w:rPr>
        <w:t xml:space="preserve">Tout incident Critique, et tout incident Élevé touchant des données personnelles ou un système homologué par la DGSSI, doit comporter une ligne explicite « Déclaration DGSSI : oui/non/pourquoi » et « Notification CNDP : oui/non/pourquoi » dans sa Revue Post-Incident (Section 8.2) — le silence sur l'un ou l'autre point est traité comme une revue incomplète.</w:t>
      </w:r>
    </w:p>
    <w:p>
      <w:pPr>
        <w:pStyle w:val="Heading1"/>
        <w:spacing w:after="200" w:before="400"/>
      </w:pPr>
      <w:r>
        <w:t xml:space="preserve">12. Socle de Couverture Technique</w:t>
      </w:r>
    </w:p>
    <w:p>
      <w:pPr>
        <w:spacing w:after="160"/>
        <w:jc w:val="left"/>
      </w:pPr>
      <w:r>
        <w:rPr>
          <w:b w:val="false"/>
          <w:bCs w:val="false"/>
          <w:i w:val="false"/>
          <w:iCs w:val="false"/>
        </w:rPr>
        <w:t xml:space="preserve">Ce processus suppose un niveau minimal de couverture technique sous-jacente ; sans celui-ci, les objectifs de délai fixés tout au long de ce document ne sont pas atteignables, quelle que soit la rigueur avec laquelle le processus lui-même est suivi. Il s'agit d'objectifs de référence à réviser et ajuster selon la tolérance au risque et les ressources réelles de l'organisation — un plancher, non une garantie.</w:t>
      </w:r>
    </w:p>
    <w:p>
      <w:pPr>
        <w:pStyle w:val="Heading2"/>
        <w:spacing w:after="140" w:before="280"/>
      </w:pPr>
      <w:r>
        <w:t xml:space="preserve">12.1 Conservation des Journaux</w:t>
      </w:r>
    </w:p>
    <w:p>
      <w:pPr>
        <w:pStyle w:val="ListParagraph"/>
        <w:numPr>
          <w:ilvl w:val="0"/>
          <w:numId w:val="2"/>
        </w:numPr>
        <w:spacing w:after="80"/>
      </w:pPr>
      <w:r>
        <w:t xml:space="preserve">Les journaux pertinents pour la sécurité (authentification, télémétrie des postes, périmètre/pare-feu, accès applicatifs) sont conservés dans un stockage activement consultable pendant un minimum de 90 jours.</w:t>
      </w:r>
    </w:p>
    <w:p>
      <w:pPr>
        <w:pStyle w:val="ListParagraph"/>
        <w:numPr>
          <w:ilvl w:val="0"/>
          <w:numId w:val="2"/>
        </w:numPr>
        <w:spacing w:after="80"/>
      </w:pPr>
      <w:r>
        <w:t xml:space="preserve">Conservation étendue (stockage froid, minimum 1 an) pour les mêmes catégories de journaux, afin de soutenir les investigations débutant après l'expiration de la fenêtre de recherche active.</w:t>
      </w:r>
    </w:p>
    <w:p>
      <w:pPr>
        <w:pStyle w:val="Heading2"/>
        <w:spacing w:after="140" w:before="280"/>
      </w:pPr>
      <w:r>
        <w:t xml:space="preserve">12.2 Couverture de Détection</w:t>
      </w:r>
    </w:p>
    <w:p>
      <w:pPr>
        <w:pStyle w:val="ListParagraph"/>
        <w:numPr>
          <w:ilvl w:val="0"/>
          <w:numId w:val="2"/>
        </w:numPr>
        <w:spacing w:after="80"/>
      </w:pPr>
      <w:r>
        <w:t xml:space="preserve">Détection sur poste (EDR ou équivalent) déployée sur 100 % des serveurs et un pourcentage minimal défini des postes de travail, suivi et rapporté comme indicateur de couverture — une lacune de couverture non suivie est un angle mort que le processus ne peut compenser.</w:t>
      </w:r>
    </w:p>
    <w:p>
      <w:pPr>
        <w:pStyle w:val="ListParagraph"/>
        <w:numPr>
          <w:ilvl w:val="0"/>
          <w:numId w:val="2"/>
        </w:numPr>
        <w:spacing w:after="80"/>
      </w:pPr>
      <w:r>
        <w:t xml:space="preserve">Surveillance périmètre/réseau couvrant chaque segment réseau transportant du trafic vers ou depuis un actif critique (selon la classification de la Section 5.6).</w:t>
      </w:r>
    </w:p>
    <w:p>
      <w:pPr>
        <w:pStyle w:val="Heading2"/>
        <w:spacing w:after="140" w:before="280"/>
      </w:pPr>
      <w:r>
        <w:t xml:space="preserve">12.3 Standard d'Ingénierie de Détection</w:t>
      </w:r>
    </w:p>
    <w:p>
      <w:pPr>
        <w:pStyle w:val="ListParagraph"/>
        <w:numPr>
          <w:ilvl w:val="0"/>
          <w:numId w:val="2"/>
        </w:numPr>
        <w:spacing w:after="80"/>
      </w:pPr>
      <w:r>
        <w:t xml:space="preserve">Chaque nouvelle règle de détection est associée à au moins une technique MITRE ATT&amp;CK avant déploiement, afin que les lacunes et chevauchements de couverture puissent être suivis systématiquement plutôt qu'au cas par cas.</w:t>
      </w:r>
    </w:p>
    <w:p>
      <w:pPr>
        <w:pStyle w:val="ListParagraph"/>
        <w:numPr>
          <w:ilvl w:val="0"/>
          <w:numId w:val="2"/>
        </w:numPr>
        <w:spacing w:after="80"/>
      </w:pPr>
      <w:r>
        <w:t xml:space="preserve">Chaque nouvelle règle de détection est testée à la fois sur un cas positif connu (elle se déclenche quand elle le doit) et un cas négatif connu représentatif (elle ne se déclenche pas sur une activité normale) avant sa mise en production.</w:t>
      </w:r>
    </w:p>
    <w:p>
      <w:pPr>
        <w:pStyle w:val="ListParagraph"/>
        <w:numPr>
          <w:ilvl w:val="0"/>
          <w:numId w:val="2"/>
        </w:numPr>
        <w:spacing w:after="80"/>
      </w:pPr>
      <w:r>
        <w:t xml:space="preserve">Une règle de détection générant un taux de faux positifs supérieur à un seuil convenu au cours de ses deux premières semaines en production est ajustée ou désactivée, et non laissée à générer une fatigue d'alerte indéfiniment.</w:t>
      </w:r>
    </w:p>
    <w:p>
      <w:pPr>
        <w:pStyle w:val="Heading2"/>
        <w:spacing w:after="140" w:before="280"/>
      </w:pPr>
      <w:r>
        <w:t xml:space="preserve">12.4 Standard de Sauvegarde et de Rétablissement</w:t>
      </w:r>
    </w:p>
    <w:p>
      <w:pPr>
        <w:pStyle w:val="ListParagraph"/>
        <w:numPr>
          <w:ilvl w:val="0"/>
          <w:numId w:val="2"/>
        </w:numPr>
        <w:spacing w:after="80"/>
      </w:pPr>
      <w:r>
        <w:t xml:space="preserve">L'Objectif de Point de Reprise (RPO) et l'Objectif de Temps de Reprise (RTO) sont définis par palier de classification d'actif (Section 5.6) et enregistrés dans l'inventaire des actifs — les étapes d'éradication/rétablissement des Annexes A à C supposent que ces valeurs existent et sont respectées ; si elles ne sont pas encore définies pour un actif donné, il s'agit d'une lacune de préparation à signaler, non d'une découverte en cours d'incident.</w:t>
      </w:r>
    </w:p>
    <w:p>
      <w:pPr>
        <w:pStyle w:val="ListParagraph"/>
        <w:numPr>
          <w:ilvl w:val="0"/>
          <w:numId w:val="2"/>
        </w:numPr>
        <w:spacing w:after="80"/>
      </w:pPr>
      <w:r>
        <w:t xml:space="preserve">L'intégrité des sauvegardes (la capacité à réellement restaurer depuis une sauvegarde, pas seulement le fait qu'une tâche de sauvegarde se soit terminée) est testée selon une fréquence définie, par palier de classification d'actif.</w:t>
      </w:r>
    </w:p>
    <w:p>
      <w:pPr>
        <w:pStyle w:val="Heading2"/>
        <w:spacing w:after="140" w:before="280"/>
      </w:pPr>
      <w:r>
        <w:t xml:space="preserve">12.5 Audits Réglementaires Externes</w:t>
      </w:r>
    </w:p>
    <w:p>
      <w:pPr>
        <w:pStyle w:val="ListParagraph"/>
        <w:numPr>
          <w:ilvl w:val="0"/>
          <w:numId w:val="2"/>
        </w:numPr>
        <w:spacing w:after="80"/>
      </w:pPr>
      <w:r>
        <w:t xml:space="preserve">Les systèmes relevant du périmètre d'homologation DGSSI (Section 5.7) sont audités selon la fréquence requise par le dossier d'homologation applicable, par un prestataire qualifié PASSI (un prestataire d'audit de sécurité formellement qualifié par la DGSSI) — un audit réalisé par un prestataire non qualifié ne satisfait pas cette exigence.</w:t>
      </w:r>
    </w:p>
    <w:p>
      <w:pPr>
        <w:pStyle w:val="ListParagraph"/>
        <w:numPr>
          <w:ilvl w:val="0"/>
          <w:numId w:val="2"/>
        </w:numPr>
        <w:spacing w:after="80"/>
      </w:pPr>
      <w:r>
        <w:t xml:space="preserve">Les constats issus de ces audits sont suivis jusqu'à clôture de la même manière que les actions correctives issues d'un incident (Section 8.2) — un constat d'audit réglementaire ouvert est une lacune de préparation, non un arriéré séparé de moindre priorité.</w:t>
      </w:r>
    </w:p>
    <w:p>
      <w:r>
        <w:br w:type="page"/>
      </w:r>
    </w:p>
    <w:p>
      <w:pPr>
        <w:pStyle w:val="Heading1"/>
        <w:spacing w:after="200" w:before="400"/>
      </w:pPr>
      <w:r>
        <w:t xml:space="preserve">Annexe A — Playbook de Réponse à une Infection par Logiciel Malveillant</w:t>
      </w:r>
    </w:p>
    <w:p>
      <w:pPr>
        <w:spacing w:after="160"/>
        <w:jc w:val="left"/>
      </w:pPr>
      <w:r>
        <w:rPr>
          <w:b w:val="false"/>
          <w:bCs w:val="false"/>
          <w:i w:val="false"/>
          <w:iCs w:val="false"/>
        </w:rPr>
        <w:t xml:space="preserve">Ce playbook est suivi exactement tel qu'écrit dès que ses critères de déclenchement sont réunis. Il suppose l'accès à une plateforme SIEM/journalisation, une console EDR ou antivirus, un fournisseur d'identité, et un pare-feu périmétrique — le produit spécifique importe peu ; les actions ci-dessous décrivent quoi faire dans la console utilisée par l'organisation pour chaque fonction.</w:t>
      </w:r>
    </w:p>
    <w:p>
      <w:pPr>
        <w:pStyle w:val="Heading2"/>
        <w:spacing w:after="140" w:before="280"/>
      </w:pPr>
      <w:r>
        <w:t xml:space="preserve">A.1 Critères de Déclenchement — Quand ce Playbook s'Applique</w:t>
      </w:r>
    </w:p>
    <w:p>
      <w:pPr>
        <w:pStyle w:val="ListParagraph"/>
        <w:numPr>
          <w:ilvl w:val="0"/>
          <w:numId w:val="2"/>
        </w:numPr>
        <w:spacing w:after="80"/>
      </w:pPr>
      <w:r>
        <w:t xml:space="preserve">Une alerte EDR ou antivirus retourne un verdict « Malveillant » ou « Échec de Mise en Quarantaine » sur n'importe quel hôte.</w:t>
      </w:r>
    </w:p>
    <w:p>
      <w:pPr>
        <w:pStyle w:val="ListParagraph"/>
        <w:numPr>
          <w:ilvl w:val="0"/>
          <w:numId w:val="2"/>
        </w:numPr>
        <w:spacing w:after="80"/>
      </w:pPr>
      <w:r>
        <w:t xml:space="preserve">Une règle de corrélation se déclenche pour un processus généré par un client de messagerie, un navigateur, ou une application bureautique qui ouvre une connexion réseau sortante dans les 60 secondes suivant son lancement, vers une destination absente de la liste approuvée de l'organisation.</w:t>
      </w:r>
    </w:p>
    <w:p>
      <w:pPr>
        <w:pStyle w:val="ListParagraph"/>
        <w:numPr>
          <w:ilvl w:val="0"/>
          <w:numId w:val="2"/>
        </w:numPr>
        <w:spacing w:after="80"/>
      </w:pPr>
      <w:r>
        <w:t xml:space="preserve">Un utilisateur signale l'exécution d'un fichier suspect, une fenêtre intempestive inattendue, ou une note de rançon.</w:t>
      </w:r>
    </w:p>
    <w:p>
      <w:pPr>
        <w:pStyle w:val="Heading2"/>
        <w:spacing w:after="140" w:before="280"/>
      </w:pPr>
      <w:r>
        <w:t xml:space="preserve">A.2 Rôles et Délais Cibles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Rôle</w:t>
            </w:r>
          </w:p>
        </w:tc>
        <w:tc>
          <w:tcPr>
            <w:tcW w:type="dxa" w:w="3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Intervient À</w:t>
            </w:r>
          </w:p>
        </w:tc>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Objectif</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Analyste Niveau 1</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Immédiatement à l'alerte</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Débuter le tri (Étape 1) sous 5 minutes</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Responsable de la Réponse Niveau 2</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Étape 4 si sévérité Élevée/Critique, ou sur demande du Niveau 1</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Accuser réception sous 10 minutes</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Propriétaire de l'Actif</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Étape 5</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Accuser réception sous 30 minutes</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Commandant d'Incident / Direction</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Uniquement si Critique (Étape 4) ou activité destructrice observée</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S'engager sous 30 minutes</w:t>
            </w:r>
          </w:p>
        </w:tc>
      </w:tr>
    </w:tbl>
    <w:p>
      <w:pPr>
        <w:pStyle w:val="Heading2"/>
        <w:spacing w:after="140" w:before="280"/>
      </w:pPr>
      <w:r>
        <w:t xml:space="preserve">A.3 Réponse Étape par Étape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rPr>
        <w:tc>
          <w:tcPr>
            <w:tcW w:type="dxa" w:w="45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Délai Cible</w:t>
            </w:r>
          </w:p>
        </w:tc>
        <w:tc>
          <w:tcPr>
            <w:tcW w:type="dxa" w:w="475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Action</w:t>
            </w:r>
          </w:p>
        </w:tc>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Vérification / Décision</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0–2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Ouvrir l'alerte déclenchante. Enregistrer dans le ticket d'incident : nom d'hôte, nom d'utilisateur connecté, chemin complet du processus, empreinte du processus (SHA256), processus parent, et horodatage de l'alerte.</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Les cinq champs doivent être renseignés avant de poursuivre. Si l'empreinte est manquante, la récupérer manuellement depuis la vue détails du fichier dans l'EDR.</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2</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2–5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Soumettre l'empreinte SHA256 au service de renseignement sur les menaces ou de réputation de l'organisation.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5 moteurs ou plus signalent malveillant → confirmé, passer à l'Étape 3. Moins de 2 signalements et aucun autre indicateur → ne pas clôturer seul ; obtenir la validation d'un second analyste sous 30 minutes avant de déclasser.</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3</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5–7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Dans la console EDR, ouvrir l'arbre des processus du processus signalé. Enregistrer chaque processus enfant et chaque IP/domaine de destination sortant contacté par lui ou ses enfants.</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Toute destination enregistrée devient une donnée requise pour l'Étape 10 — ne pas en omettre une parce qu'elle paraît anodine.</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7–8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Attribuer la sévérité selon la Section 4 : exécution confirmée ET serveur/actif critique → Élevé ou Critique. Bloqué avant exécution ET poste de travail uniquement → Moyen.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La sévérité doit être consignée dans le ticket avant de poursuivre — elle fixe tous les délais restants.</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8–10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Notifier le Propriétaire de l'Actif à l'aide du modèle de l'Annexe D.1.</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Consigner l'heure exacte de la notification — requis pour la Revue Post-Incident.</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10–15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Vérifier si le poste est actuellement en ligne et remonte des informations à l'EDR.</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En ligne → passer à l'Étape 7. Hors ligne → activer « isoler à la prochaine connexion » si supporté, et passer directement à l'Étape 10 sans attendre la réapparition du poste.</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7</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15–20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Dans la console EDR, sélectionner le poste et appliquer « Isoler du réseau » (ou équivalent).</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Confirmer que le statut passe à Isolé sous 2 minutes. Si ce n'est pas le cas, l'action n'a PAS pris effet — escalader immédiatement vers le Niveau 2 ; ne pas présumer le succès du seul fait du clic.</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8</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20–25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Récupérer une liste de processus actualisée depuis le poste isolé. Si le processus malveillant est toujours présent, le terminer directement depuis la console EDR.</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Récupérer à nouveau la liste des processus après la terminaison et confirmer la disparition du PID.</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9</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25–30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Si le compte connecté est privilégié ou un compte de service, le désactiver immédiatement dans le fournisseur d'identité (étapes exactes : Annexe C, Étape 2) — ne pas attendre l'analyse complète du logiciel malveillant.</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Confirmer que le compte apparaît Désactivé dans la console du fournisseur d'identité.</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10</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30–35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Si un domaine/IP de commande et contrôle a été relevé à l'Étape 3, le bloquer au pare-feu périmétrique pour l'ensemble de l'organisation, pas seulement l'hôte affecté.</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Confirmer en tentant une connexion vers cette destination depuis un hôte de test séparé et non affecté, en observant son échec ou son expiration — ne pas se fier uniquement à l'indication « Activé » de la règle de pare-feu.</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35–40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Confirmer le confinement complet : (a) le poste isolé ne peut atteindre que le canal de gestion de l'EDR, (b) le processus malveillant est absent de la liste des processus, (c) le blocage périmétrique de l'Étape 10 est confirmé.</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Les trois doivent être validés avant de poursuivre. En cas d'échec de l'un d'eux, rester en confinement et escalader vers le Niveau 2.</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12</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Selon l'ANS (ex. 4h Élevé / 24h Moyen)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Réinstaller le poste depuis l'image de référence saine de l'organisation. Ne pas tenter de suppression manuelle d'artefacts individuels sur un incident Élevé ou Critique.</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Confirmer que la réinstallation est terminée et que le poste se réenregistre dans l'EDR avant d'être rendu à l'utilisateur.</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13</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Après réinstallation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Restaurer les données de l'utilisateur uniquement depuis une sauvegarde antérieure à l'horodatage d'infection relevé à l'Étape 1.</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Réanalyser les données restaurées à la recherche du fichier malveillant identifié avant la restauration finale.</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Avant clôture du ticket</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Identifier le vecteur d'infection (pièce jointe, téléchargement furtif, support amovible, etc.) à partir de la chronologie d'activité de l'EDR.</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Le ticket ne peut être clôturé avec ce champ vide.</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Sous 5 jours ouvrés (Moyen et plus)</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Réaliser la Revue Post-Incident selon la Section 8.2.</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La revue doit indiquer explicitement si les délais cibles ci-dessus ont été respectés, et sinon pourquoi.</w:t>
            </w:r>
          </w:p>
        </w:tc>
      </w:tr>
    </w:tbl>
    <w:p>
      <w:pPr>
        <w:pStyle w:val="Heading2"/>
        <w:spacing w:after="140" w:before="280"/>
      </w:pPr>
      <w:r>
        <w:t xml:space="preserve">A.4 Déclencheurs d'Escalade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4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Condition</w:t>
            </w:r>
          </w:p>
        </w:tc>
        <w:tc>
          <w:tcPr>
            <w:tcW w:type="dxa" w:w="3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Escalade Vers</w:t>
            </w:r>
          </w:p>
        </w:tc>
        <w:tc>
          <w:tcPr>
            <w:tcW w:type="dxa" w:w="2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Délai</w:t>
            </w:r>
          </w:p>
        </w:tc>
      </w:tr>
      <w:tr>
        <w:trPr>
          <w:cantSplit/>
        </w:trPr>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Sévérité évaluée Élevée ou Critique à l'Étape 4</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Responsable de la Réponse Niveau 2</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Immédiatement</w:t>
            </w:r>
          </w:p>
        </w:tc>
      </w:tr>
      <w:tr>
        <w:trPr>
          <w:cantSplit/>
        </w:trPr>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L'isolement (Étape 7) ne prend pas effet sous 2 minutes</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Responsable de la Réponse Niveau 2</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Immédiatement</w:t>
            </w:r>
          </w:p>
        </w:tc>
      </w:tr>
      <w:tr>
        <w:trPr>
          <w:cantSplit/>
        </w:trPr>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Preuve de mouvement latéral vers un second hôte</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Niveau 2 + Commandant d'Incident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10 minutes</w:t>
            </w:r>
          </w:p>
        </w:tc>
      </w:tr>
      <w:tr>
        <w:trPr>
          <w:cantSplit/>
        </w:trPr>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Un compte privilégié ou de service est impliqué</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Responsable de la Réponse Niveau 2</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Immédiatement</w:t>
            </w:r>
          </w:p>
        </w:tc>
      </w:tr>
      <w:tr>
        <w:trPr>
          <w:cantSplit/>
        </w:trPr>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Note de rançon, chiffrement de fichiers, ou autre activité destructrice observée</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Commandant d'Incident / Direction</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Immédiatement — traiter comme Critique indépendamment des autres facteurs</w:t>
            </w:r>
          </w:p>
        </w:tc>
      </w:tr>
    </w:tbl>
    <w:p>
      <w:pPr>
        <w:pStyle w:val="Heading2"/>
        <w:spacing w:after="140" w:before="280"/>
      </w:pPr>
      <w:r>
        <w:t xml:space="preserve">A.5 Pièges Courants</w:t>
      </w:r>
    </w:p>
    <w:p>
      <w:pPr>
        <w:pStyle w:val="ListParagraph"/>
        <w:numPr>
          <w:ilvl w:val="0"/>
          <w:numId w:val="2"/>
        </w:numPr>
        <w:spacing w:after="80"/>
      </w:pPr>
      <w:r>
        <w:t xml:space="preserve">Éteindre le poste immédiatement, détruisant les preuves en mémoire volatile qui auraient pu identifier la famille de logiciel malveillant ou des indicateurs supplémentaires.</w:t>
      </w:r>
    </w:p>
    <w:p>
      <w:pPr>
        <w:pStyle w:val="ListParagraph"/>
        <w:numPr>
          <w:ilvl w:val="0"/>
          <w:numId w:val="2"/>
        </w:numPr>
        <w:spacing w:after="80"/>
      </w:pPr>
      <w:r>
        <w:t xml:space="preserve">Nettoyer le poste et le remettre en service sans avoir terminé l'Étape 14 — le même utilisateur sera probablement réinfecté de la même façon.</w:t>
      </w:r>
    </w:p>
    <w:p>
      <w:pPr>
        <w:pStyle w:val="ListParagraph"/>
        <w:numPr>
          <w:ilvl w:val="0"/>
          <w:numId w:val="2"/>
        </w:numPr>
        <w:spacing w:after="80"/>
      </w:pPr>
      <w:r>
        <w:t xml:space="preserve">Bloquer uniquement le trafic de l'hôte spécifique vers le domaine malveillant au lieu d'un blocage à l'échelle de l'organisation (Étape 10), permettant au même canal de commande et contrôle de réussir contre un autre hôte.</w:t>
      </w:r>
    </w:p>
    <w:p>
      <w:r>
        <w:br w:type="page"/>
      </w:r>
    </w:p>
    <w:p>
      <w:pPr>
        <w:pStyle w:val="Heading1"/>
        <w:spacing w:after="200" w:before="400"/>
      </w:pPr>
      <w:r>
        <w:t xml:space="preserve">Annexe B — Playbook de Compromission ou d'Usage Abusif de Certificat / PKI</w:t>
      </w:r>
    </w:p>
    <w:p>
      <w:pPr>
        <w:spacing w:after="160"/>
        <w:jc w:val="left"/>
      </w:pPr>
      <w:r>
        <w:rPr>
          <w:b w:val="false"/>
          <w:bCs w:val="false"/>
          <w:i w:val="false"/>
          <w:iCs w:val="false"/>
        </w:rPr>
        <w:t xml:space="preserve">Ce playbook s'applique aux organisations exploitant une Autorité de Certification (AC) ou émettant des certificats en tant que service. Il se divise rapidement en deux voies distinctes — usage abusif d'une clé toujours sécurisée versus extraction réelle du matériel de clé — car la réponse appropriée et les obligations de divulgation diffèrent nettement entre les deux.</w:t>
      </w:r>
    </w:p>
    <w:p>
      <w:pPr>
        <w:pStyle w:val="Heading2"/>
        <w:spacing w:after="140" w:before="280"/>
      </w:pPr>
      <w:r>
        <w:t xml:space="preserve">B.1 Critères de Déclenchement — Quand ce Playbook s'Applique</w:t>
      </w:r>
    </w:p>
    <w:p>
      <w:pPr>
        <w:pStyle w:val="ListParagraph"/>
        <w:numPr>
          <w:ilvl w:val="0"/>
          <w:numId w:val="2"/>
        </w:numPr>
        <w:spacing w:after="80"/>
      </w:pPr>
      <w:r>
        <w:t xml:space="preserve">Une entrée du journal d'audit d'émission de l'AC n'a pas de ticket de changement approuvé correspondant.</w:t>
      </w:r>
    </w:p>
    <w:p>
      <w:pPr>
        <w:pStyle w:val="ListParagraph"/>
        <w:numPr>
          <w:ilvl w:val="0"/>
          <w:numId w:val="2"/>
        </w:numPr>
        <w:spacing w:after="80"/>
      </w:pPr>
      <w:r>
        <w:t xml:space="preserve">Une alerte de surveillance Certificate Transparency signale un certificat couvrant un domaine ou une identité absent de la liste autorisée de l'organisation.</w:t>
      </w:r>
    </w:p>
    <w:p>
      <w:pPr>
        <w:pStyle w:val="ListParagraph"/>
        <w:numPr>
          <w:ilvl w:val="0"/>
          <w:numId w:val="2"/>
        </w:numPr>
        <w:spacing w:after="80"/>
      </w:pPr>
      <w:r>
        <w:t xml:space="preserve">Une alerte du Module de Sécurité Matériel (HSM) signale une tentative d'export de clé, un accès en dehors d'une fenêtre de maintenance approuvée, ou un échec d'autotest anti-altération.</w:t>
      </w:r>
    </w:p>
    <w:p>
      <w:pPr>
        <w:pStyle w:val="ListParagraph"/>
        <w:numPr>
          <w:ilvl w:val="0"/>
          <w:numId w:val="2"/>
        </w:numPr>
        <w:spacing w:after="80"/>
      </w:pPr>
      <w:r>
        <w:t xml:space="preserve">Une partie externe (un éditeur de navigateur, un client, ou un chercheur) signale un certificat suspect portant la signature de l'AC de l'organisation.</w:t>
      </w:r>
    </w:p>
    <w:p>
      <w:pPr>
        <w:pStyle w:val="Heading2"/>
        <w:spacing w:after="140" w:before="280"/>
      </w:pPr>
      <w:r>
        <w:t xml:space="preserve">B.2 Rôles et Délais Cibles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Rôle</w:t>
            </w:r>
          </w:p>
        </w:tc>
        <w:tc>
          <w:tcPr>
            <w:tcW w:type="dxa" w:w="3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Intervient À</w:t>
            </w:r>
          </w:p>
        </w:tc>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Objectif</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Analyste Niveau 1</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Immédiatement</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Débuter le tri (Étape 1) sous 5 minutes</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Administrateur PKI / AC</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Étape 2</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Accuser réception sous 15 minutes</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Commandant d'Incident / Direction</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Étape 6, si compromission de clé suspectée</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S'engager sous 15 minutes</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Responsable Conformité PKI</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Étape 8, si le seuil de divulgation est atteint</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Notifier dans le délai obligatoire applicable</w:t>
            </w:r>
          </w:p>
        </w:tc>
      </w:tr>
    </w:tbl>
    <w:p>
      <w:pPr>
        <w:pStyle w:val="Heading2"/>
        <w:spacing w:after="140" w:before="280"/>
      </w:pPr>
      <w:r>
        <w:t xml:space="preserve">B.3 Réponse Étape par Étape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rPr>
        <w:tc>
          <w:tcPr>
            <w:tcW w:type="dxa" w:w="45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Délai Cible</w:t>
            </w:r>
          </w:p>
        </w:tc>
        <w:tc>
          <w:tcPr>
            <w:tcW w:type="dxa" w:w="475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Action</w:t>
            </w:r>
          </w:p>
        </w:tc>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Vérification / Décision</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0–5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Enregistrer : le numéro de série exact du certificat, le sujet/domaine, l'AC émettrice ou intermédiaire, et comment l'incident a été découvert.</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Si le numéro de série n'est pas encore connu, l'obtenir depuis l'entrée du journal Certificate Transparency ou auprès du rapporteur avant de poursuivre.</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2</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5–15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Notifier l'Administrateur PKI/AC. Extraire le journal d'audit d'émission de l'AC pour l'horodatage exact et le compte/workflow demandeur ayant produit le certificat.</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Déterminer si la demande est passée par le workflow normal approuvé (oriente vers l'Étape 3, voie usage abusif) ou l'a totalement contourné (oriente vers l'Étape 6, voie compromission de clé).</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3</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15–20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DÉCISION : le certificat a-t-il été émis via un identifiant authentifié valide qui n'aurait pas dû avoir l'autorité de le demander (usage abusif), ou existe-t-il une indication que la clé privée de signature de l'AC a été accédée ou exportée hors du HSM ?</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Usage abusif seul → poursuivre à l'Étape 4. Toute indication d'extraction de clé → passer immédiatement à l'Étape 6 ; c'est la voie la plus grave et prioritaire.</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20–30 min (voie usage abusif)</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Désactiver le compte demandeur spécifique ou l'identifiant de workflow de l'Autorité d'Enregistrement (AE) dans la gestion des accès de l'AC.</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Tenter un appel/connexion test avec cet identifiant et confirmer son rejet.</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30–40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Révoquer le(s) certificat(s) non autorisé(s) spécifique(s) de l'Étape 1 via la fonction de révocation de l'AC ; publier à la fois vers la CRL et le répondeur OCSP.</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Interroger directement le répondeur OCSP pour ce numéro de série et confirmer qu'il retourne « révoqué », et non simplement « valide » — ne pas se fier uniquement au statut interne de la console de l'AC.</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Immédiatement (voie compromission de clé)</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Escalader vers le Commandant d'Incident / Direction. Ne pas engager d'action de remédiation supplémentaire sans leur autorisation explicite à partir de ce point.</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La décision du Commandant d'Incident doit être consignée dans le ticket avant de poursuivre à l'Étape 7.</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7</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Après autorisation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Commencer la génération d'une nouvelle paire de clés pour l'AC ou l'intermédiaire affecté, selon la procédure documentée de cérémonie de clé à double contrôle de l'organisation.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Au moins deux personnes autorisées doivent participer selon la politique de double contrôle — ceci ne peut être réalisé par une seule personne.</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8</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Dans le délai obligatoire applicable (couramment aussi court que 24 heures pour une compromission confirmée de clé de Sous-AC selon les Exigences de Référence du CA/Browser Forum — confirmer le chiffre actuel auprès du Responsable Conformité PKI, car il est mis à jour périodiquement)</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Notifier le(s) programme(s) racine/éditeur(s) de navigateurs concerné(s) de la compromission de clé confirmée, même si l'investigation n'est pas encore terminée.</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Envoyer une notification initiale avec les faits connus et une date de suivi engagée plutôt que d'attendre une certitude totale — un rapport tardif mais complet est pire qu'un rapport précoce et limité.</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9</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En parallèle de l'Étape 8</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Notifier les parties de confiance/clients connus dont les certificats sont affectés, à l'aide du modèle de l'Annexe D.2.</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Liste de notification et heures d'envoi consignées dans le ticket.</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10</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Vérification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Confirmer que chaque certificat révoqué retourne « révoqué » depuis l'OCSP et apparaît dans la CRL actuelle, vérifié depuis une machine externe au propre réseau de l'organisation.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Tout certificat n'apparaissant pas révoqué depuis l'extérieur n'est pas encore confiné — répéter la propagation et revérifier avant de poursuivre.</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Éradication (voie usage abusif)</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Corriger le workflow d'autorisation ayant permis l'usage abusif (par exemple, double validation obligatoire pour l'émission) avant de remettre en service le compte ou le workflow de l'AE.</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Le changement de workflow doit être documenté et validé par l'Administrateur PKI avant réactivation.</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12</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Éradication (voie compromission de clé)</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Une fois la nouvelle clé générée, réémettre les certificats pour tous les détenteurs légitimes sous celle-ci, et mettre hors service l'ancien matériel de clé selon la procédure de destruction de clé de l'organisation.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Confirmer que l'ancien matériel de clé est démontrablement détruit (par exemple, une entrée du journal d'audit de suppression de clé du HSM), et non simplement désactivé.</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13</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Avant clôture du ticket</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Réaliser la Revue Post-Incident selon la Section 8.2. Ceci est obligatoire pour ce type d'incident quelle que soit la sévérité, compte tenu des implications réglementaires et vis-à-vis des programmes racine.</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La revue doit documenter explicitement si le délai de divulgation obligatoire (Étape 8) a été respecté.</w:t>
            </w:r>
          </w:p>
        </w:tc>
      </w:tr>
    </w:tbl>
    <w:p>
      <w:pPr>
        <w:pStyle w:val="Heading2"/>
        <w:spacing w:after="140" w:before="280"/>
      </w:pPr>
      <w:r>
        <w:t xml:space="preserve">B.4 Déclencheurs d'Escalade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4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Condition</w:t>
            </w:r>
          </w:p>
        </w:tc>
        <w:tc>
          <w:tcPr>
            <w:tcW w:type="dxa" w:w="3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Escalade Vers</w:t>
            </w:r>
          </w:p>
        </w:tc>
        <w:tc>
          <w:tcPr>
            <w:tcW w:type="dxa" w:w="2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Délai</w:t>
            </w:r>
          </w:p>
        </w:tc>
      </w:tr>
      <w:tr>
        <w:trPr>
          <w:cantSplit/>
        </w:trPr>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Toute indication d'extraction de clé privée (pas seulement un usage abusif)</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Commandant d'Incident / Direction</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Immédiatement</w:t>
            </w:r>
          </w:p>
        </w:tc>
      </w:tr>
      <w:tr>
        <w:trPr>
          <w:cantSplit/>
        </w:trPr>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Un certificat affecté est déjà déployé/de confiance chez une partie de confiance</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Administrateur PKI + Commandant d'Incident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Immédiatement</w:t>
            </w:r>
          </w:p>
        </w:tc>
      </w:tr>
      <w:tr>
        <w:trPr>
          <w:cantSplit/>
        </w:trPr>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La révocation du certificat racine ou d'une AC intermédiaire elle-même est envisagée</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Commandant d'Incident / Direction — autorité de décision, pas un analyste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Avant l'exécution d'une telle révocation</w:t>
            </w:r>
          </w:p>
        </w:tc>
      </w:tr>
      <w:tr>
        <w:trPr>
          <w:cantSplit/>
        </w:trPr>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Le délai de divulgation obligatoire (Étape 8) risque de ne pas être respecté</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Commandant d'Incident + Responsable Conformité PKI</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Immédiatement</w:t>
            </w:r>
          </w:p>
        </w:tc>
      </w:tr>
    </w:tbl>
    <w:p>
      <w:pPr>
        <w:pStyle w:val="Heading2"/>
        <w:spacing w:after="140" w:before="280"/>
      </w:pPr>
      <w:r>
        <w:t xml:space="preserve">B.5 Pièges Courants</w:t>
      </w:r>
    </w:p>
    <w:p>
      <w:pPr>
        <w:pStyle w:val="ListParagraph"/>
        <w:numPr>
          <w:ilvl w:val="0"/>
          <w:numId w:val="2"/>
        </w:numPr>
        <w:spacing w:after="80"/>
      </w:pPr>
      <w:r>
        <w:t xml:space="preserve">Traiter l'émission non autorisée (une défaillance de processus, voie usage abusif de l'Étape 3) et l'extraction réelle de clé privée (voie compromission de clé de l'Étape 3) avec la même sévérité — elles impliquent des obligations de remédiation et de divulgation très différentes.</w:t>
      </w:r>
    </w:p>
    <w:p>
      <w:pPr>
        <w:pStyle w:val="ListParagraph"/>
        <w:numPr>
          <w:ilvl w:val="0"/>
          <w:numId w:val="2"/>
        </w:numPr>
        <w:spacing w:after="80"/>
      </w:pPr>
      <w:r>
        <w:t xml:space="preserve">Révoquer un certificat racine ou intermédiaire sans reconnaître que cela invalide tous les certificats jamais émis par celui-ci, y compris les légitimes — cette décision requiert l'aval explicite de la direction (Étape 6).</w:t>
      </w:r>
    </w:p>
    <w:p>
      <w:pPr>
        <w:pStyle w:val="ListParagraph"/>
        <w:numPr>
          <w:ilvl w:val="0"/>
          <w:numId w:val="2"/>
        </w:numPr>
        <w:spacing w:after="80"/>
      </w:pPr>
      <w:r>
        <w:t xml:space="preserve">Manquer le délai de divulgation obligatoire au(x) programme(s) racine (Étape 8) en poursuivant l'investigation interne — envoyer la notification initiale à temps quoi qu'il arrive.</w:t>
      </w:r>
    </w:p>
    <w:p>
      <w:r>
        <w:br w:type="page"/>
      </w:r>
    </w:p>
    <w:p>
      <w:pPr>
        <w:pStyle w:val="Heading1"/>
        <w:spacing w:after="200" w:before="400"/>
      </w:pPr>
      <w:r>
        <w:t xml:space="preserve">Annexe C — Playbook d'Accès Non Autorisé / Compromission de Compte</w:t>
      </w:r>
    </w:p>
    <w:p>
      <w:pPr>
        <w:spacing w:after="160"/>
        <w:jc w:val="left"/>
      </w:pPr>
      <w:r>
        <w:rPr>
          <w:b w:val="false"/>
          <w:bCs w:val="false"/>
          <w:i w:val="false"/>
          <w:iCs w:val="false"/>
        </w:rPr>
        <w:t xml:space="preserve">Ce playbook s'applique aux incidents où un compte — utilisateur standard, administratif, ou de service — est confirmé ou suspecté d'être sous le contrôle de quelqu'un d'autre que son propriétaire légitime.</w:t>
      </w:r>
    </w:p>
    <w:p>
      <w:pPr>
        <w:pStyle w:val="Heading2"/>
        <w:spacing w:after="140" w:before="280"/>
      </w:pPr>
      <w:r>
        <w:t xml:space="preserve">C.1 Critères de Déclenchement — Quand ce Playbook s'Applique</w:t>
      </w:r>
    </w:p>
    <w:p>
      <w:pPr>
        <w:pStyle w:val="ListParagraph"/>
        <w:numPr>
          <w:ilvl w:val="0"/>
          <w:numId w:val="2"/>
        </w:numPr>
        <w:spacing w:after="80"/>
      </w:pPr>
      <w:r>
        <w:t xml:space="preserve">Une alerte de déplacement impossible : connexions réussies depuis deux lieux géographiquement distants dans une fenêtre de temps plus courte que ne le permettrait un déplacement réel.</w:t>
      </w:r>
    </w:p>
    <w:p>
      <w:pPr>
        <w:pStyle w:val="ListParagraph"/>
        <w:numPr>
          <w:ilvl w:val="0"/>
          <w:numId w:val="2"/>
        </w:numPr>
        <w:spacing w:after="80"/>
      </w:pPr>
      <w:r>
        <w:t xml:space="preserve">Une connexion réussie immédiatement après 5 tentatives échouées ou plus sur le même compte en moins de 10 minutes.</w:t>
      </w:r>
    </w:p>
    <w:p>
      <w:pPr>
        <w:pStyle w:val="ListParagraph"/>
        <w:numPr>
          <w:ilvl w:val="0"/>
          <w:numId w:val="2"/>
        </w:numPr>
        <w:spacing w:after="80"/>
      </w:pPr>
      <w:r>
        <w:t xml:space="preserve">Une connexion sur un compte signalé comme désactivé, dormant (aucune activité depuis 90 jours ou plus), ou appartenant à un employé sorti des effectifs.</w:t>
      </w:r>
    </w:p>
    <w:p>
      <w:pPr>
        <w:pStyle w:val="ListParagraph"/>
        <w:numPr>
          <w:ilvl w:val="0"/>
          <w:numId w:val="2"/>
        </w:numPr>
        <w:spacing w:after="80"/>
      </w:pPr>
      <w:r>
        <w:t xml:space="preserve">Enregistrement d'un nouvel appareil ou d'une nouvelle méthode d'authentification multifacteur sans demande de changement initiée par l'utilisateur correspondante.</w:t>
      </w:r>
    </w:p>
    <w:p>
      <w:pPr>
        <w:pStyle w:val="Heading2"/>
        <w:spacing w:after="140" w:before="280"/>
      </w:pPr>
      <w:r>
        <w:t xml:space="preserve">C.2 Rôles et Délais Cibles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Rôle</w:t>
            </w:r>
          </w:p>
        </w:tc>
        <w:tc>
          <w:tcPr>
            <w:tcW w:type="dxa" w:w="3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Intervient À</w:t>
            </w:r>
          </w:p>
        </w:tc>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Objectif</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Analyste Niveau 1</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Immédiatement</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Débuter le tri (Étape 1) sous 5 minutes</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Administrateur IAM / Identité</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Étape 2</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Accuser réception sous 10 minutes</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Responsable de la Réponse Niveau 2</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Si compte privilégié/de service (Étape 4)</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Immédiatement</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Propriétaire du compte (utilisateur légitime)</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Étape 9</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Contacté sous 30 minutes via un canal indépendant</w:t>
            </w:r>
          </w:p>
        </w:tc>
      </w:tr>
    </w:tbl>
    <w:p>
      <w:pPr>
        <w:pStyle w:val="Heading2"/>
        <w:spacing w:after="140" w:before="280"/>
      </w:pPr>
      <w:r>
        <w:t xml:space="preserve">C.3 Réponse Étape par Étape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rPr>
        <w:tc>
          <w:tcPr>
            <w:tcW w:type="dxa" w:w="45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Délai Cible</w:t>
            </w:r>
          </w:p>
        </w:tc>
        <w:tc>
          <w:tcPr>
            <w:tcW w:type="dxa" w:w="475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Action</w:t>
            </w:r>
          </w:p>
        </w:tc>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Vérification / Décision</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0–2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Ouvrir l'alerte. Enregistrer : nom du compte, niveau de privilège (standard/admin/service), IP source et géolocalisation de la connexion signalée, et horodatage.</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Tous les champs renseignés avant de poursuivre.</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2</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2–5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Dans la console du fournisseur d'identité, désactiver le compte immédiatement (ne pas se contenter de réinitialiser le mot de passe à ce stade).</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Confirmer que le statut du compte affiche Désactivé — un état en attente/en file n'est pas suffisant ; revérifier après 60 secondes.</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3</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5–8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Dans la console du fournisseur d'identité ou de gestion de session, terminer toutes les sessions actives et révoquer tous les jetons émis pour ce compte.</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Confirmer que la liste des sessions du compte est vide. Une réinitialisation de mot de passe seule n'y parvient pas sur la plupart des plateformes — cette étape doit être réalisée explicitement.</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8–10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Attribuer la sévérité selon la Section 4 : compte privilégié ou de service → Élevé ou Critique par défaut, indépendamment des autres facteurs. Utilisateur standard sans preuve d'activité post-connexion → Moyen.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Sévérité consignée avant de poursuivre — elle détermine les délais restants.</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10–15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Révoquer tous les appareils/méthodes d'authentification multifacteur actuellement enregistrés pour le compte.</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Confirmer que le compte affiche zéro méthode MFA enregistrée avant la réattribution à l'Étape 11.</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15–20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Vérifier le journal d'activité du compte pour la fenêtre de session de l'Étape 1 : existe-t-il une preuve d'activité après la connexion non autorisée (accès aux données, modifications effectuées, autres comptes touchés) ?</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Aucune preuve → passer à l'Étape 9. Preuve trouvée → réaliser d'abord l'Étape 7 et l'Étape 8.</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7</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20–30 min (comptes privilégiés/de service uniquement)</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Examiner chaque action effectuée pendant la fenêtre de compromission et annuler tout changement non autorisé (comptes créés, droits accordés, règles de transfert de messagerie, changements de configuration).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Chaque changement annulé consigné individuellement avec un horodatage — une déclaration résumée n'est pas une documentation suffisante.</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8</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20–30 min (en parallèle de l'Étape 7)</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Si le compte avait accès à des identifiants partagés, des clés API, ou des secrets, commencer leur rotation immédiatement.</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Confirmer que l'ancienne valeur de chaque identifiant renouvelé ne s'authentifie plus.</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9</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Sous 30 min depuis la détection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Contacter le propriétaire légitime du compte via un canal indépendant du compte compromis (appel téléphonique ou plateforme de messagerie distincte — jamais la messagerie du compte lui-même) pour confirmer qu'il n'est pas à l'origine de la connexion signalée.</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Réponse consignée dans le ticket. Si injoignable sous 30 minutes, poursuivre le confinement quoi qu'il arrive — ne pas attendre la confirmation de l'utilisateur pour confiner.</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10</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Vérification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Confirmer : compte désactivé, zéro session active, zéro méthode MFA enregistrée, et (le cas échéant) tous les changements non autorisés de l'Étape 7 annulés et les identifiants de l'Étape 8 confirmés invalides.</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Les quatre doivent être validés avant de passer au rétablissement.</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Rétablissement</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Réattribuer le compte : nouveau mot de passe communiqué via le canal indépendant de l'Étape 9 (jamais envoyé au compte compromis), nouvelle MFA enregistrée par l'utilisateur lui-même.</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Confirmer que l'utilisateur peut se connecter avec le nouvel identifiant et sa propre MFA nouvellement enregistrée avant de considérer le compte rétabli.</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12</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Avant clôture du ticket</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Déterminer et consigner le vecteur d'accès (hameçonnage, réutilisation d'identifiant issu d'une fuite externe, logiciel malveillant, etc.).</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Le ticket ne peut être clôturé avec ce champ vide.</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13</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Sous 5 jours ouvrés (Moyen et plus)</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Réaliser la Revue Post-Incident selon la Section 8.2.</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Doit indiquer explicitement si les délais cibles ci-dessus ont été respectés.</w:t>
            </w:r>
          </w:p>
        </w:tc>
      </w:tr>
    </w:tbl>
    <w:p>
      <w:pPr>
        <w:pStyle w:val="Heading2"/>
        <w:spacing w:after="140" w:before="280"/>
      </w:pPr>
      <w:r>
        <w:t xml:space="preserve">C.4 Déclencheurs d'Escalade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4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Condition</w:t>
            </w:r>
          </w:p>
        </w:tc>
        <w:tc>
          <w:tcPr>
            <w:tcW w:type="dxa" w:w="3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Escalade Vers</w:t>
            </w:r>
          </w:p>
        </w:tc>
        <w:tc>
          <w:tcPr>
            <w:tcW w:type="dxa" w:w="2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Délai</w:t>
            </w:r>
          </w:p>
        </w:tc>
      </w:tr>
      <w:tr>
        <w:trPr>
          <w:cantSplit/>
        </w:trPr>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Le compte est privilégié ou un compte de service</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Responsable de la Réponse Niveau 2</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Immédiatement</w:t>
            </w:r>
          </w:p>
        </w:tc>
      </w:tr>
      <w:tr>
        <w:trPr>
          <w:cantSplit/>
        </w:trPr>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Preuve de mouvement latéral vers d'autres systèmes via ce compte</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Niveau 2 + Commandant d'Incident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10 minutes</w:t>
            </w:r>
          </w:p>
        </w:tc>
      </w:tr>
      <w:tr>
        <w:trPr>
          <w:cantSplit/>
        </w:trPr>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Le propriétaire du compte confirme un clic d'hameçonnage récent ou une exposition similaire d'identifiant</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Responsable Sensibilisation / Formation</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 jour ouvré</w:t>
            </w:r>
          </w:p>
        </w:tc>
      </w:tr>
      <w:tr>
        <w:trPr>
          <w:cantSplit/>
        </w:trPr>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Plus d'un compte compromis via le même vecteur apparent en 24 heures</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Commandant d'Incident — campagne potentiellement plus large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Immédiatement</w:t>
            </w:r>
          </w:p>
        </w:tc>
      </w:tr>
    </w:tbl>
    <w:p>
      <w:pPr>
        <w:pStyle w:val="Heading2"/>
        <w:spacing w:after="140" w:before="280"/>
      </w:pPr>
      <w:r>
        <w:t xml:space="preserve">C.5 Pièges Courants</w:t>
      </w:r>
    </w:p>
    <w:p>
      <w:pPr>
        <w:pStyle w:val="ListParagraph"/>
        <w:numPr>
          <w:ilvl w:val="0"/>
          <w:numId w:val="2"/>
        </w:numPr>
        <w:spacing w:after="80"/>
      </w:pPr>
      <w:r>
        <w:t xml:space="preserve">Réinitialiser uniquement le mot de passe du compte sans avoir réalisé l'Étape 3 — laisse les sessions existantes de l'attaquant intactes malgré la « correction ».</w:t>
      </w:r>
    </w:p>
    <w:p>
      <w:pPr>
        <w:pStyle w:val="ListParagraph"/>
        <w:numPr>
          <w:ilvl w:val="0"/>
          <w:numId w:val="2"/>
        </w:numPr>
        <w:spacing w:after="80"/>
      </w:pPr>
      <w:r>
        <w:t xml:space="preserve">Sauter l'Étape 7 pour un compte privilégié — les règles de transfert de messagerie et les comptes nouvellement créés sont les deux mécanismes de persistance les plus fréquemment manqués.</w:t>
      </w:r>
    </w:p>
    <w:p>
      <w:pPr>
        <w:pStyle w:val="ListParagraph"/>
        <w:numPr>
          <w:ilvl w:val="0"/>
          <w:numId w:val="2"/>
        </w:numPr>
        <w:spacing w:after="80"/>
      </w:pPr>
      <w:r>
        <w:t xml:space="preserve">Appliquer la même réponse à faible urgence à toute compromission de compte indépendamment du niveau de privilège — l'attribution de sévérité de l'Étape 4 existe spécifiquement pour éviter cela.</w:t>
      </w:r>
    </w:p>
    <w:p>
      <w:r>
        <w:br w:type="page"/>
      </w:r>
    </w:p>
    <w:p>
      <w:pPr>
        <w:pStyle w:val="Heading1"/>
        <w:spacing w:after="200" w:before="400"/>
      </w:pPr>
      <w:r>
        <w:t xml:space="preserve">Annexe D — Modèles de Notification Standard</w:t>
      </w:r>
    </w:p>
    <w:p>
      <w:pPr>
        <w:spacing w:after="160"/>
        <w:jc w:val="left"/>
      </w:pPr>
      <w:r>
        <w:rPr>
          <w:b w:val="false"/>
          <w:bCs w:val="false"/>
          <w:i w:val="false"/>
          <w:iCs w:val="false"/>
        </w:rPr>
        <w:t xml:space="preserve">Ces modèles sont utilisés aux étapes exactes référencées dans les Annexes A à C. Les champs entre crochets sont complétés au moment de l'envoi ; la formulation environnante est utilisée telle quelle afin que les destinataires reçoivent un format cohérent et reconnaissable, quel que soit l'analyste qui l'envoie.</w:t>
      </w:r>
    </w:p>
    <w:p>
      <w:pPr>
        <w:pStyle w:val="Heading2"/>
        <w:spacing w:after="140" w:before="280"/>
      </w:pPr>
      <w:r>
        <w:t xml:space="preserve">D.1 Notification Initiale à un Propriétaire d'Actif</w:t>
      </w:r>
    </w:p>
    <w:p>
      <w:pPr>
        <w:spacing w:after="160"/>
        <w:jc w:val="left"/>
      </w:pPr>
      <w:r>
        <w:rPr>
          <w:b w:val="false"/>
          <w:bCs w:val="false"/>
          <w:i/>
          <w:iCs/>
        </w:rPr>
        <w:t xml:space="preserve">Utilisé à : Annexe A, Étape 5.</w:t>
      </w:r>
    </w:p>
    <w:p>
      <w:pPr>
        <w:spacing w:after="160"/>
        <w:jc w:val="left"/>
      </w:pPr>
      <w:r>
        <w:rPr>
          <w:b w:val="false"/>
          <w:bCs w:val="false"/>
          <w:i w:val="false"/>
          <w:iCs w:val="false"/>
        </w:rPr>
        <w:t xml:space="preserve">« [AVIS DE SÉCURITÉ] Un incident de sécurité suspecté a été détecté sur [nom d'hôte/système], dont votre équipe est propriétaire. Sévérité : [Faible/Moyenne/Élevée/Critique]. Nous investiguons et confinons activement. Aucune action n'est requise de votre part pour l'instant sauf demande séparée. Nous fournirons une mise à jour sous [30 minutes / 1 heure, selon la sévérité]. Référence de l'incident : [ID du ticket]. »</w:t>
      </w:r>
    </w:p>
    <w:p>
      <w:pPr>
        <w:pStyle w:val="Heading2"/>
        <w:spacing w:after="140" w:before="280"/>
      </w:pPr>
      <w:r>
        <w:t xml:space="preserve">D.2 Notification aux Parties de Confiance / Clients (Incidents PKI)</w:t>
      </w:r>
    </w:p>
    <w:p>
      <w:pPr>
        <w:spacing w:after="160"/>
        <w:jc w:val="left"/>
      </w:pPr>
      <w:r>
        <w:rPr>
          <w:b w:val="false"/>
          <w:bCs w:val="false"/>
          <w:i/>
          <w:iCs/>
        </w:rPr>
        <w:t xml:space="preserve">Utilisé à : Annexe B, Étape 9.</w:t>
      </w:r>
    </w:p>
    <w:p>
      <w:pPr>
        <w:spacing w:after="160"/>
        <w:jc w:val="left"/>
      </w:pPr>
      <w:r>
        <w:rPr>
          <w:b w:val="false"/>
          <w:bCs w:val="false"/>
          <w:i w:val="false"/>
          <w:iCs w:val="false"/>
        </w:rPr>
        <w:t xml:space="preserve">« [AVIS DE SÉCURITÉ] Nous avons identifié un problème affectant [un certificat / des certificats émis par notre organisation]. Numéro(s) de série concerné(s) : [liste]. Action recommandée : [aucune requise / veuillez remplacer le certificat concerné en suivant les instructions à …]. Nous fournirons des mises à jour à mesure que l'investigation progresse. Contactez [contact sécurité/PKI] pour toute question. Référence de l'incident : [ID du ticket]. »</w:t>
      </w:r>
    </w:p>
    <w:p>
      <w:pPr>
        <w:pStyle w:val="Heading2"/>
        <w:spacing w:after="140" w:before="280"/>
      </w:pPr>
      <w:r>
        <w:t xml:space="preserve">D.3 Script de Contact par Canal Indépendant (Compromission de Compte)</w:t>
      </w:r>
    </w:p>
    <w:p>
      <w:pPr>
        <w:spacing w:after="160"/>
        <w:jc w:val="left"/>
      </w:pPr>
      <w:r>
        <w:rPr>
          <w:b w:val="false"/>
          <w:bCs w:val="false"/>
          <w:i/>
          <w:iCs/>
        </w:rPr>
        <w:t xml:space="preserve">Utilisé à : Annexe C, Étape 9 — énoncé oralement ou par message, jamais envoyé au compte sous investigation.</w:t>
      </w:r>
    </w:p>
    <w:p>
      <w:pPr>
        <w:spacing w:after="160"/>
        <w:jc w:val="left"/>
      </w:pPr>
      <w:r>
        <w:rPr>
          <w:b w:val="false"/>
          <w:bCs w:val="false"/>
          <w:i w:val="false"/>
          <w:iCs w:val="false"/>
        </w:rPr>
        <w:t xml:space="preserve">« Bonjour [nom], je suis [nom de l'analyste] de l'équipe sécurité. Nous avons détecté une connexion à votre compte depuis [lieu/IP] à [heure] que nous n'avons pas encore confirmée comme étant la vôtre. Était-ce vous ? Si non, merci de ne pas tenter de vous connecter tant que nous n'aurons pas confirmé la sécurité de votre compte — nous l'avons déjà désactivé par précaution et le réactiverons avec un nouveau mot de passe une fois la situation résolue. »</w:t>
      </w:r>
    </w:p>
    <w:p>
      <w:r>
        <w:br w:type="page"/>
      </w:r>
    </w:p>
    <w:p>
      <w:pPr>
        <w:pStyle w:val="Heading1"/>
        <w:spacing w:after="200" w:before="400"/>
      </w:pPr>
      <w:r>
        <w:t xml:space="preserve">Annexe E — Alignement ISO/IEC 27001:2022</w:t>
      </w:r>
    </w:p>
    <w:p>
      <w:pPr>
        <w:spacing w:after="160"/>
        <w:jc w:val="left"/>
      </w:pPr>
      <w:r>
        <w:rPr>
          <w:b w:val="false"/>
          <w:bCs w:val="false"/>
          <w:i w:val="false"/>
          <w:iCs w:val="false"/>
        </w:rPr>
        <w:t xml:space="preserve">L'organisation est certifiée ISO/IEC 27001. Ce tableau associe chaque partie de ce document à la mesure de l'Annexe A ou à l'exigence de clause principale qu'elle satisfait, à des fins de traçabilité pour l'audit. Il complète, sans s'y substituer, la Déclaration d'Applicabilité de l'organisation.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Ce Document</w:t>
            </w:r>
          </w:p>
        </w:tc>
        <w:tc>
          <w:tcPr>
            <w:tcW w:type="dxa" w:w="3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Référence ISO/IEC 27001:2022</w:t>
            </w:r>
          </w:p>
        </w:tc>
        <w:tc>
          <w:tcPr>
            <w:tcW w:type="dxa" w:w="3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Exigence Satisfaite</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Section 5 (Préparation)</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A.5.24</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Planification et préparation de la gestion des incidents de sécurité de l'information</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Section 6 (Détection et Analyse)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A.5.25</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Évaluation et décision sur les événements de sécurité de l'information</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Section 7 (Confinement, Éradication, Rétablissement) ; Annexes A–C</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A.5.26</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Réponse aux incidents de sécurité de l'information</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Section 8.2 (Revue Post-Incident)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A.5.27</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Tirer les enseignements des incidents de sécurité de l'information</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Section 6.3 (Traitement des Preuves et Chaîne de Traçabilité)</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A.5.28</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Collecte de preuves</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Sections 5.7, 12.5 (Homologation, Audits Externes)</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A.5.35 / A.5.36</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Revue indépendante de la sécurité de l'information ; conformité aux politiques et normes</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Section 8.3 (Indicateurs) ; Section 5.5 (Tests et Exercices)</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Clause 9.1 / 9.2</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Surveillance, mesure, et contribution à l'audit interne</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Page de Gestion Documentaire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Clause 7.5</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Maîtrise des informations documentées</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Section 8.2, traitement des constats récurrents (12.5)</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Clause 10.1 / 10.2</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Amélioration continue ; non-conformité et action corrective</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Document entier, révisé selon le cycle indiqué en page de titre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Clause 9.3</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Contribution à la revue de direction</w:t>
            </w:r>
          </w:p>
        </w:tc>
      </w:tr>
    </w:tbl>
    <w:p>
      <w:pPr>
        <w:spacing w:after="160"/>
        <w:jc w:val="left"/>
      </w:pPr>
      <w:r>
        <w:rPr>
          <w:b w:val="false"/>
          <w:bCs w:val="false"/>
          <w:i w:val="false"/>
          <w:iCs w:val="false"/>
        </w:rPr>
        <w:t xml:space="preserve">Cette correspondance doit être révisée et mise à jour à chaque recertification ISO/IEC 27001 de l'organisation ou révision du référentiel de mesures de la norme, et à chaque modification substantielle de ce document.</w:t>
      </w:r>
    </w:p>
    <w:p>
      <w:r>
        <w:br w:type="page"/>
      </w:r>
    </w:p>
    <w:p>
      <w:pPr>
        <w:pStyle w:val="Heading1"/>
        <w:spacing w:after="200" w:before="400"/>
      </w:pPr>
      <w:r>
        <w:t xml:space="preserve">Gestion Documentaire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rPr>
        <w:tc>
          <w:tcPr>
            <w:tcW w:type="dxa" w:w="1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Version</w:t>
            </w:r>
          </w:p>
        </w:tc>
        <w:tc>
          <w:tcPr>
            <w:tcW w:type="dxa" w:w="2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Date</w:t>
            </w:r>
          </w:p>
        </w:tc>
        <w:tc>
          <w:tcPr>
            <w:tcW w:type="dxa" w:w="2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Auteur</w:t>
            </w:r>
          </w:p>
        </w:tc>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Résumé des Modifications</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1.0</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[Date]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[Auteur]</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Version initiale — processus principal (Sections 1–9) et Annexe A (Infection par Logiciel Malveillant)</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1.1</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[Date]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[Auteur]</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Ajout de l'Annexe B (Compromission ou Usage Abusif de Certificat/PKI) et de l'Annexe C (Accès Non Autorisé / Compromission de Compte)</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1.2</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[Date]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[Auteur]</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Refonte des Annexes A–C en playbooks opérationnels étape par étape avec délais cibles exacts et critères de vérification ; ajout de l'Annexe D (Modèles de Notification)</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2.0</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[Date]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[Auteur]</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Ajout des Tests/Exercices et de la Classification des Données (5.5–5.6) ; extension du traitement des preuves en chaîne de traçabilité complète (6.3) ; ajout du tableau de base ANS (9.2) ; ajout de la Passation de Service (10), de la Notification Légale et Réglementaire (11), et du Socle de Couverture Technique (12)</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2.1</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[Date]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[Auteur]</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Remplacement de l'espace réservé générique de notification légale par le cadre réellement applicable à l'organisation (DGSSI/Loi 05-20/DNSSI et CNDP/Loi 09-08) ; ajout du rôle RSSI, de l'Homologation et Préparation aux Audits (5.7, 12.5), et de l'Annexe E (Alignement ISO/IEC 27001:2022)</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sur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Processus de Réponse aux Incidents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abstractNum w:abstractNumId="6" w15:restartNumberingAfterBreak="0">
    <w:multiLevelType w:val="hybridMultilevel"/>
    <w:lvl w:ilvl="0" w15:tentative="1">
      <w:start w:val="1"/>
      <w:numFmt w:val="decimal"/>
      <w:lvlText w:val="%1."/>
      <w:lvlJc w:val="left"/>
      <w:pPr>
        <w:ind w:left="360" w:hanging="260"/>
      </w:pPr>
    </w:lvl>
  </w:abstractNum>
  <w:abstractNum w:abstractNumId="7" w15:restartNumberingAfterBreak="0">
    <w:multiLevelType w:val="hybridMultilevel"/>
    <w:lvl w:ilvl="0" w15:tentative="1">
      <w:start w:val="1"/>
      <w:numFmt w:val="decimal"/>
      <w:lvlText w:val="%1."/>
      <w:lvlJc w:val="left"/>
      <w:pPr>
        <w:ind w:left="360" w:hanging="260"/>
      </w:pPr>
    </w:lvl>
  </w:abstractNum>
  <w:abstractNum w:abstractNumId="8" w15:restartNumberingAfterBreak="0">
    <w:multiLevelType w:val="hybridMultilevel"/>
    <w:lvl w:ilvl="0" w15:tentative="1">
      <w:start w:val="1"/>
      <w:numFmt w:val="decimal"/>
      <w:lvlText w:val="%1."/>
      <w:lvlJc w:val="left"/>
      <w:pPr>
        <w:ind w:left="360" w:hanging="260"/>
      </w:pPr>
    </w:lvl>
  </w:abstractNum>
  <w:abstractNum w:abstractNumId="9"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222222"/>
      <w:sz w:val="30"/>
      <w:szCs w:val="30"/>
    </w:rPr>
  </w:style>
  <w:style w:type="paragraph" w:styleId="Heading2">
    <w:name w:val="Heading 2"/>
    <w:basedOn w:val="Normal"/>
    <w:next w:val="Normal"/>
    <w:qFormat/>
    <w:pPr>
      <w:spacing w:after="140" w:before="280"/>
    </w:pPr>
    <w:rPr>
      <w:b/>
      <w:bCs/>
      <w:color w:val="22222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2026-09-19T21:07:52.280Z</dcterms:created>
  <dcterms:modified xsi:type="dcterms:W3CDTF">2026-09-19T21:07:52.280Z</dcterms:modified>
</cp:coreProperties>
</file>

<file path=docProps/custom.xml><?xml version="1.0" encoding="utf-8"?>
<Properties xmlns="http://schemas.openxmlformats.org/officeDocument/2006/custom-properties" xmlns:vt="http://schemas.openxmlformats.org/officeDocument/2006/docPropsVTypes"/>
</file>