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CSMEval08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compiled briefing packet describing Project Aegis-K, a combined</w:t>
      </w:r>
      <w:r>
        <w:t xml:space="preserve"> </w:t>
      </w:r>
      <w:r>
        <w:t xml:space="preserve">GIC/flood-hazard resilience redesign built for a major regional amusement</w:t>
      </w:r>
      <w:r>
        <w:t xml:space="preserve"> </w:t>
      </w:r>
      <w:r>
        <w:t xml:space="preserve">park, along with related county-level evacuation, water-system, and building-</w:t>
      </w:r>
      <w:r>
        <w:t xml:space="preserve"> </w:t>
      </w:r>
      <w:r>
        <w:t xml:space="preserve">materials research from Carrington Storm Motors. If your jurisdiction has</w:t>
      </w:r>
      <w:r>
        <w:t xml:space="preserve"> </w:t>
      </w:r>
      <w:r>
        <w:t xml:space="preserve">comparable public-assembly infrastructure, we’d welcome the chance to adapt</w:t>
      </w:r>
      <w:r>
        <w:t xml:space="preserve"> </w:t>
      </w:r>
      <w:r>
        <w:t xml:space="preserve">the same template for a technical courtesy review.</w:t>
      </w:r>
    </w:p>
    <w:p>
      <w:pPr>
        <w:pStyle w:val="BodyText"/>
      </w:pPr>
      <w:r>
        <w:t xml:space="preserve">Happy to connect at IAAPA, APWA, or NLC/NACo — whichever fits your calendar.</w:t>
      </w:r>
    </w:p>
    <w:p>
      <w:pPr>
        <w:pStyle w:val="BodyText"/>
      </w:pPr>
      <w:r>
        <w:t xml:space="preserve">Thanks for doing the job where everyone else’s problem eventually becomes</w:t>
      </w:r>
      <w:r>
        <w:t xml:space="preserve"> </w:t>
      </w:r>
      <w:r>
        <w:t xml:space="preserve">yours — it doesn’t get said enough.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8-compiled-briefing-packet"/>
    <w:p>
      <w:pPr>
        <w:pStyle w:val="Heading1"/>
      </w:pPr>
      <w:r>
        <w:t xml:space="preserve">CSMEval08 — COMPILED BRIEFING PACKET</w:t>
      </w:r>
    </w:p>
    <w:bookmarkStart w:id="10" w:name="Xe090562c2d622a8eed989279277bd448fef09eb"/>
    <w:p>
      <w:pPr>
        <w:pStyle w:val="Heading2"/>
      </w:pPr>
      <w:r>
        <w:t xml:space="preserve">Municipal Emergency Management, Public Works &amp; Parks/Attraction-Safety Departments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Municipal EM/Public Works/Parks sector (CSMEval08),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Project Aegis-K, and What It Teaches Every Other Municipality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Everyone Else’s Hazard Becomes Your Tuesday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Reaching a Lot of Cities Without a Lot of Meetings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Municipal Infrastructure Division | "People First, Paperwork Second"</w:t>
      </w:r>
    </w:p>
    <w:p>
      <w:pPr>
        <w:pStyle w:val="FirstParagraph"/>
      </w:pPr>
      <w:r>
        <w:t xml:space="preserve">Every hazard on everyone else’s desk in this outreach series eventually</w:t>
      </w:r>
      <w:r>
        <w:t xml:space="preserve"> </w:t>
      </w:r>
      <w:r>
        <w:t xml:space="preserve">becomes local government’s problem the moment it actually happens — grid,</w:t>
      </w:r>
      <w:r>
        <w:t xml:space="preserve"> </w:t>
      </w:r>
      <w:r>
        <w:t xml:space="preserve">water, transportation, and public-assembly safety all land at the county or</w:t>
      </w:r>
      <w:r>
        <w:t xml:space="preserve"> </w:t>
      </w:r>
      <w:r>
        <w:t xml:space="preserve">city level in a real event, regardless of who was theoretically supposed to</w:t>
      </w:r>
      <w:r>
        <w:t xml:space="preserve"> </w:t>
      </w:r>
      <w:r>
        <w:t xml:space="preserve">handle it first. The upside of being at the bottom of that stack: we already</w:t>
      </w:r>
      <w:r>
        <w:t xml:space="preserve"> </w:t>
      </w:r>
      <w:r>
        <w:t xml:space="preserve">built a full worked example for exactly your kind of jurisdiction.</w:t>
      </w:r>
    </w:p>
    <w:p>
      <w:pPr>
        <w:pStyle w:val="SourceCode"/>
      </w:pPr>
      <w:r>
        <w:rPr>
          <w:rStyle w:val="VerbatimChar"/>
        </w:rPr>
        <w:t xml:space="preserve">             PROJECT AEGIS-K, AND WHAT IT TEACHES EVERY OTHER MUNICIPALITY</w:t>
      </w:r>
      <w:r>
        <w:br/>
      </w:r>
      <w:r>
        <w:rPr>
          <w:rStyle w:val="VerbatimChar"/>
        </w:rPr>
        <w:t xml:space="preserve">             CSMEval08-A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Project Aegis-K and related CSM research directly transferable to</w:t>
      </w:r>
      <w:r>
        <w:t xml:space="preserve"> </w:t>
      </w:r>
      <w:r>
        <w:t xml:space="preserve">municipal public-assembly infrastructure, evacuation planning, and water/</w:t>
      </w:r>
      <w:r>
        <w:t xml:space="preserve"> </w:t>
      </w:r>
      <w:r>
        <w:t xml:space="preserve">building-materials continuity.</w:t>
      </w:r>
    </w:p>
    <w:p>
      <w:pPr>
        <w:numPr>
          <w:ilvl w:val="0"/>
          <w:numId w:val="1002"/>
        </w:numPr>
      </w:pPr>
      <w:r>
        <w:t xml:space="preserve">PROJECT AEGIS-K (KNOTT’S BERRY FARM DIELECTRIC/AMPHIBIOUS REFABRICATION)</w:t>
      </w:r>
      <w:r>
        <w:t xml:space="preserve"> </w:t>
      </w:r>
      <w:r>
        <w:t xml:space="preserve">A dual-hazard (GIC + flood) resilience redesign for a major regional</w:t>
      </w:r>
      <w:r>
        <w:t xml:space="preserve"> </w:t>
      </w:r>
      <w:r>
        <w:t xml:space="preserve">amusement park — dense mechanical/electrical infrastructure, high public</w:t>
      </w:r>
      <w:r>
        <w:t xml:space="preserve"> </w:t>
      </w:r>
      <w:r>
        <w:t xml:space="preserve">occupancy, and a documented, reusable template for comparable municipal or</w:t>
      </w:r>
      <w:r>
        <w:t xml:space="preserve"> </w:t>
      </w:r>
      <w:r>
        <w:t xml:space="preserve">quasi-municipal attractions.</w:t>
      </w:r>
    </w:p>
    <w:p>
      <w:pPr>
        <w:numPr>
          <w:ilvl w:val="0"/>
          <w:numId w:val="1002"/>
        </w:numPr>
      </w:pPr>
      <w:r>
        <w:t xml:space="preserve">STELLAR-AEGIS EVACUATION PROTOCOL (LOS ANGELES COUNTY)</w:t>
      </w:r>
      <w:r>
        <w:t xml:space="preserve"> </w:t>
      </w:r>
      <w:r>
        <w:t xml:space="preserve">County-level evacuation protocol template, already built and ready to</w:t>
      </w:r>
      <w:r>
        <w:t xml:space="preserve"> </w:t>
      </w:r>
      <w:r>
        <w:t xml:space="preserve">adapt — the same case study referenced in the emergency-management sector</w:t>
      </w:r>
      <w:r>
        <w:t xml:space="preserve"> </w:t>
      </w:r>
      <w:r>
        <w:t xml:space="preserve">briefing series, relevant here at the county/city implementation level.</w:t>
      </w:r>
    </w:p>
    <w:p>
      <w:pPr>
        <w:numPr>
          <w:ilvl w:val="0"/>
          <w:numId w:val="1002"/>
        </w:numPr>
      </w:pPr>
      <w:r>
        <w:t xml:space="preserve">AEGIS-HYDRO WATER SYSTEM RESILIENCE</w:t>
      </w:r>
      <w:r>
        <w:t xml:space="preserve"> </w:t>
      </w:r>
      <w:r>
        <w:t xml:space="preserve">Municipal water-system continuity research, relevant to Public Works</w:t>
      </w:r>
      <w:r>
        <w:t xml:space="preserve"> </w:t>
      </w:r>
      <w:r>
        <w:t xml:space="preserve">departments responsible for water/sanitation infrastructure.</w:t>
      </w:r>
    </w:p>
    <w:p>
      <w:pPr>
        <w:numPr>
          <w:ilvl w:val="0"/>
          <w:numId w:val="1002"/>
        </w:numPr>
      </w:pPr>
      <w:r>
        <w:t xml:space="preserve">NON-CONDUCTIVE MUNICIPAL BUILDING MATERIALS</w:t>
      </w:r>
      <w:r>
        <w:t xml:space="preserve"> </w:t>
      </w:r>
      <w:r>
        <w:t xml:space="preserve">BFRP rebar, geopolymer concrete, and the broader non-conductive building</w:t>
      </w:r>
      <w:r>
        <w:t xml:space="preserve"> </w:t>
      </w:r>
      <w:r>
        <w:t xml:space="preserve">suite (CSMFAB09, CSMFAB0107, CSMFAB010) — applicable to any public</w:t>
      </w:r>
      <w:r>
        <w:t xml:space="preserve"> </w:t>
      </w:r>
      <w:r>
        <w:t xml:space="preserve">facility a municipality builds or retrofits.</w:t>
      </w:r>
    </w:p>
    <w:p>
      <w:pPr>
        <w:pStyle w:val="FirstParagraph"/>
      </w:pPr>
      <w:r>
        <w:t xml:space="preserve">WHY THE TEMPLATE MATTERS MORE THAN THE ORIGINAL PROJECT</w:t>
      </w:r>
      <w:r>
        <w:t xml:space="preserve"> </w:t>
      </w:r>
      <w:r>
        <w:t xml:space="preserve">The value to you isn’t that one amusement park got hardened — it’s that the</w:t>
      </w:r>
      <w:r>
        <w:t xml:space="preserve"> </w:t>
      </w:r>
      <w:r>
        <w:t xml:space="preserve">methodology used to harden it now exists in reusable form, ready for whatever</w:t>
      </w:r>
      <w:r>
        <w:t xml:space="preserve"> </w:t>
      </w:r>
      <w:r>
        <w:t xml:space="preserve">public-assembly infrastructure sits in your own jurisdiction.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this sector, despite sitting</w:t>
      </w:r>
      <w:r>
        <w:t xml:space="preserve"> </w:t>
      </w:r>
      <w:r>
        <w:t xml:space="preserve">“underneath”</w:t>
      </w:r>
      <w:r>
        <w:t xml:space="preserve"> </w:t>
      </w:r>
      <w:r>
        <w:t xml:space="preserve">every other</w:t>
      </w:r>
      <w:r>
        <w:t xml:space="preserve"> </w:t>
      </w:r>
      <w:r>
        <w:t xml:space="preserve">hazard on this list, deserves its own dedicated distribution layer rather than</w:t>
      </w:r>
      <w:r>
        <w:t xml:space="preserve"> </w:t>
      </w:r>
      <w:r>
        <w:t xml:space="preserve">being treated as an afterthought.</w:t>
      </w:r>
    </w:p>
    <w:p>
      <w:pPr>
        <w:pStyle w:val="BodyText"/>
      </w:pPr>
      <w:r>
        <w:t xml:space="preserve">One park’s retrofit, written so any city’s parks department can read it as their own.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"Prepared Is the Best Possible Position"</w:t>
      </w:r>
    </w:p>
    <w:p>
      <w:pPr>
        <w:pStyle w:val="FirstParagraph"/>
      </w:pPr>
      <w:r>
        <w:t xml:space="preserve">Every sector above this one in the outreach sequence — federal, state, grid,</w:t>
      </w:r>
      <w:r>
        <w:t xml:space="preserve"> </w:t>
      </w:r>
      <w:r>
        <w:t xml:space="preserve">nuclear, rail, bridges — gets to hand off the hardest part of the problem</w:t>
      </w:r>
      <w:r>
        <w:t xml:space="preserve"> </w:t>
      </w:r>
      <w:r>
        <w:t xml:space="preserve">eventually. You don’t. When the causal hazard is a solar storm nobody local</w:t>
      </w:r>
      <w:r>
        <w:t xml:space="preserve"> </w:t>
      </w:r>
      <w:r>
        <w:t xml:space="preserve">controls, but the flooded park, the dark intersection, and the stuck ride are</w:t>
      </w:r>
      <w:r>
        <w:t xml:space="preserve"> </w:t>
      </w:r>
      <w:r>
        <w:t xml:space="preserve">all sitting in your jurisdiction,</w:t>
      </w:r>
      <w:r>
        <w:t xml:space="preserve"> </w:t>
      </w:r>
      <w:r>
        <w:t xml:space="preserve">“not my department”</w:t>
      </w:r>
      <w:r>
        <w:t xml:space="preserve"> </w:t>
      </w:r>
      <w:r>
        <w:t xml:space="preserve">stops being an</w:t>
      </w:r>
      <w:r>
        <w:t xml:space="preserve"> </w:t>
      </w:r>
      <w:r>
        <w:t xml:space="preserve">available answer really fast.</w:t>
      </w:r>
    </w:p>
    <w:p>
      <w:pPr>
        <w:pStyle w:val="SourceCode"/>
      </w:pPr>
      <w:r>
        <w:rPr>
          <w:rStyle w:val="VerbatimChar"/>
        </w:rPr>
        <w:t xml:space="preserve">             EVERYONE ELSE'S HAZARD BECOMES YOUR TUESDAY</w:t>
      </w:r>
      <w:r>
        <w:br/>
      </w:r>
      <w:r>
        <w:rPr>
          <w:rStyle w:val="VerbatimChar"/>
        </w:rPr>
        <w:t xml:space="preserve">             CSMEval08-B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municipal government sits at the intersection of every hazard in</w:t>
      </w:r>
      <w:r>
        <w:t xml:space="preserve"> </w:t>
      </w:r>
      <w:r>
        <w:t xml:space="preserve">this outreach series, and why a dual-hazard (GIC + flood/structural) template</w:t>
      </w:r>
      <w:r>
        <w:t xml:space="preserve"> </w:t>
      </w:r>
      <w:r>
        <w:t xml:space="preserve">is particularly valuable at this level.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Municipalities that own or regulate high-density public-assembly</w:t>
      </w:r>
      <w:r>
        <w:t xml:space="preserve"> </w:t>
      </w:r>
      <w:r>
        <w:t xml:space="preserve">infrastructure (amusement parks, fairgrounds, civic arenas) face a combined</w:t>
      </w:r>
      <w:r>
        <w:t xml:space="preserve"> </w:t>
      </w:r>
      <w:r>
        <w:t xml:space="preserve">GIC exposure and flood/structural risk at large, mechanically complex sites</w:t>
      </w:r>
      <w:r>
        <w:t xml:space="preserve"> </w:t>
      </w:r>
      <w:r>
        <w:t xml:space="preserve">— a dual-hazard profile most single-hazard planning doesn’t address.</w:t>
      </w:r>
      <w:r>
        <w:t xml:space="preserve"> </w:t>
      </w:r>
      <w:r>
        <w:t xml:space="preserve">• The Project Aegis-K case study demonstrates this dual-hazard methodology</w:t>
      </w:r>
      <w:r>
        <w:t xml:space="preserve"> </w:t>
      </w:r>
      <w:r>
        <w:t xml:space="preserve">already worked, at real scale, for a named regional attraction.</w:t>
      </w:r>
      <w:r>
        <w:t xml:space="preserve"> </w:t>
      </w:r>
      <w:r>
        <w:t xml:space="preserve">• Local Building &amp; Safety / Fire Marshal offices already hold permitting</w:t>
      </w:r>
      <w:r>
        <w:t xml:space="preserve"> </w:t>
      </w:r>
      <w:r>
        <w:t xml:space="preserve">authority over ride/attraction electrical and structural systems — meaning</w:t>
      </w:r>
      <w:r>
        <w:t xml:space="preserve"> </w:t>
      </w:r>
      <w:r>
        <w:t xml:space="preserve">the regulatory hook to apply this methodology already exists, without new</w:t>
      </w:r>
      <w:r>
        <w:t xml:space="preserve"> </w:t>
      </w:r>
      <w:r>
        <w:t xml:space="preserve">authority being required.</w:t>
      </w:r>
      <w:r>
        <w:t xml:space="preserve"> </w:t>
      </w:r>
      <w:r>
        <w:t xml:space="preserve">• Solar Cycle 25’s confirmed SSN ~137 peak keeps every upstream hazard in this</w:t>
      </w:r>
      <w:r>
        <w:t xml:space="preserve"> </w:t>
      </w:r>
      <w:r>
        <w:t xml:space="preserve">outreach series (grid, rail, bridges) live simultaneously — and all of them</w:t>
      </w:r>
      <w:r>
        <w:t xml:space="preserve"> </w:t>
      </w:r>
      <w:r>
        <w:t xml:space="preserve">ultimately land on municipal desks in a real event.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Municipal-level planning that treats</w:t>
      </w:r>
      <w:r>
        <w:t xml:space="preserve"> </w:t>
      </w:r>
      <w:r>
        <w:t xml:space="preserve">“space weather”</w:t>
      </w:r>
      <w:r>
        <w:t xml:space="preserve"> </w:t>
      </w:r>
      <w:r>
        <w:t xml:space="preserve">as someone else’s</w:t>
      </w:r>
      <w:r>
        <w:t xml:space="preserve"> </w:t>
      </w:r>
      <w:r>
        <w:t xml:space="preserve">federal/state responsibility misses the local implementation gap this</w:t>
      </w:r>
      <w:r>
        <w:t xml:space="preserve"> </w:t>
      </w:r>
      <w:r>
        <w:t xml:space="preserve">briefing addresses directly.</w:t>
      </w:r>
      <w:r>
        <w:t xml:space="preserve"> </w:t>
      </w:r>
      <w:r>
        <w:t xml:space="preserve">• Public-assembly infrastructure with combined GIC and flood/structural</w:t>
      </w:r>
      <w:r>
        <w:t xml:space="preserve"> </w:t>
      </w:r>
      <w:r>
        <w:t xml:space="preserve">exposure is a higher-consequence gap than either hazard modeled alone.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broad, low-friction distribution channels</w:t>
      </w:r>
      <w:r>
        <w:t xml:space="preserve"> </w:t>
      </w:r>
      <w:r>
        <w:t xml:space="preserve">(NLC/NACo, IAAPA, APWA) that reach the sheer number of municipal entities this</w:t>
      </w:r>
      <w:r>
        <w:t xml:space="preserve"> </w:t>
      </w:r>
      <w:r>
        <w:t xml:space="preserve">sector represents.</w:t>
      </w:r>
    </w:p>
    <w:p>
      <w:pPr>
        <w:pStyle w:val="BodyText"/>
      </w:pPr>
      <w:r>
        <w:t xml:space="preserve">Not your hazard. Still your Tuesday. Let’s make the Tuesday easier.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There are thousands of municipalities in this sector, which means the right</w:t>
      </w:r>
      <w:r>
        <w:t xml:space="preserve"> </w:t>
      </w:r>
      <w:r>
        <w:t xml:space="preserve">strategy isn’t a thousand individual pitches — it’s a small number of venues</w:t>
      </w:r>
      <w:r>
        <w:t xml:space="preserve"> </w:t>
      </w:r>
      <w:r>
        <w:t xml:space="preserve">that already gather most of them in one place, one time a year.</w:t>
      </w:r>
    </w:p>
    <w:p>
      <w:pPr>
        <w:pStyle w:val="SourceCode"/>
      </w:pPr>
      <w:r>
        <w:rPr>
          <w:rStyle w:val="VerbatimChar"/>
        </w:rPr>
        <w:t xml:space="preserve">             REACHING A LOT OF CITIES WITHOUT A LOT OF MEETINGS</w:t>
      </w:r>
      <w:r>
        <w:br/>
      </w:r>
      <w:r>
        <w:rPr>
          <w:rStyle w:val="VerbatimChar"/>
        </w:rPr>
        <w:t xml:space="preserve">             CSMEval08-C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broad distribution channels best suited to reaching a large</w:t>
      </w:r>
      <w:r>
        <w:t xml:space="preserve"> </w:t>
      </w:r>
      <w:r>
        <w:t xml:space="preserve">number of municipal entities efficiently, rather than a jurisdiction-by-</w:t>
      </w:r>
      <w:r>
        <w:t xml:space="preserve"> </w:t>
      </w:r>
      <w:r>
        <w:t xml:space="preserve">jurisdiction outreach campaign.</w:t>
      </w:r>
    </w:p>
    <w:p>
      <w:pPr>
        <w:pStyle w:val="BodyText"/>
      </w:pPr>
      <w:r>
        <w:t xml:space="preserve">BROADEST CHANNEL — NLC / NACo ANNUAL CONFERENCES</w:t>
      </w:r>
      <w:r>
        <w:t xml:space="preserve"> </w:t>
      </w:r>
      <w:r>
        <w:t xml:space="preserve">The National League of Cities (NLC) and National Association of Counties</w:t>
      </w:r>
      <w:r>
        <w:t xml:space="preserve"> </w:t>
      </w:r>
      <w:r>
        <w:t xml:space="preserve">(NACo) each hold annual conferences reaching city/county officials broadly —</w:t>
      </w:r>
      <w:r>
        <w:t xml:space="preserve"> </w:t>
      </w:r>
      <w:r>
        <w:t xml:space="preserve">the right venue for a general-audience introduction to this research corpus,</w:t>
      </w:r>
      <w:r>
        <w:t xml:space="preserve"> </w:t>
      </w:r>
      <w:r>
        <w:t xml:space="preserve">even for municipalities without an attraction/park hazard specifically.</w:t>
      </w:r>
    </w:p>
    <w:p>
      <w:pPr>
        <w:pStyle w:val="BodyText"/>
      </w:pPr>
      <w:r>
        <w:t xml:space="preserve">ATTRACTION-SPECIFIC CHANNEL — IAAPA</w:t>
      </w:r>
      <w:r>
        <w:t xml:space="preserve"> </w:t>
      </w:r>
      <w:r>
        <w:t xml:space="preserve">The International Association of Amusement Parks and Attractions is the</w:t>
      </w:r>
      <w:r>
        <w:t xml:space="preserve"> </w:t>
      </w:r>
      <w:r>
        <w:t xml:space="preserve">direct-fit channel for the Project Aegis-K template specifically (also</w:t>
      </w:r>
      <w:r>
        <w:t xml:space="preserve"> </w:t>
      </w:r>
      <w:r>
        <w:t xml:space="preserve">referenced in the amusement-park sector’s own briefing series, CSMEval15) —</w:t>
      </w:r>
      <w:r>
        <w:t xml:space="preserve"> </w:t>
      </w:r>
      <w:r>
        <w:t xml:space="preserve">worth engaging once, with material useful to both audiences.</w:t>
      </w:r>
    </w:p>
    <w:p>
      <w:pPr>
        <w:pStyle w:val="BodyText"/>
      </w:pPr>
      <w:r>
        <w:t xml:space="preserve">OPERATIONS CHANNEL — APWA ANNUAL CONGRESS</w:t>
      </w:r>
      <w:r>
        <w:t xml:space="preserve"> </w:t>
      </w:r>
      <w:r>
        <w:t xml:space="preserve">The American Public Works Association’s annual congress reaches the water,</w:t>
      </w:r>
      <w:r>
        <w:t xml:space="preserve"> </w:t>
      </w:r>
      <w:r>
        <w:t xml:space="preserve">sanitation, and public-infrastructure staff most relevant to the Aegis-Hydro</w:t>
      </w:r>
      <w:r>
        <w:t xml:space="preserve"> </w:t>
      </w:r>
      <w:r>
        <w:t xml:space="preserve">and non-conductive building-materials research.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IAAPA (narrowest, highest-fit audience for the flagship case study).</w:t>
      </w:r>
      <w:r>
        <w:t xml:space="preserve"> </w:t>
      </w:r>
      <w:r>
        <w:t xml:space="preserve">2. APWA (operations-focused audience for water/materials research).</w:t>
      </w:r>
      <w:r>
        <w:t xml:space="preserve"> </w:t>
      </w:r>
      <w:r>
        <w:t xml:space="preserve">3. NLC/NACo (broadest reach, general-audience introduction).</w:t>
      </w:r>
    </w:p>
    <w:p>
      <w:pPr>
        <w:pStyle w:val="BodyText"/>
      </w:pPr>
      <w:r>
        <w:t xml:space="preserve">Three rooms, most of the country’s cities and counties in them.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CSMEval08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CSMEval08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CSMEval08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