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CSMEval11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organizing Carrington Storm Motors’ hardening</w:t>
      </w:r>
      <w:r>
        <w:t xml:space="preserve"> </w:t>
      </w:r>
      <w:r>
        <w:t xml:space="preserve">research by specialty line (energy/utility, marine, aviation/aerospace,</w:t>
      </w:r>
      <w:r>
        <w:t xml:space="preserve"> </w:t>
      </w:r>
      <w:r>
        <w:t xml:space="preserve">business-interruption/data-center) for use in underwriting credit frameworks</w:t>
      </w:r>
      <w:r>
        <w:t xml:space="preserve"> </w:t>
      </w:r>
      <w:r>
        <w:t xml:space="preserve">or client risk-engineering deliverables — a complement to the systemic risk</w:t>
      </w:r>
      <w:r>
        <w:t xml:space="preserve"> </w:t>
      </w:r>
      <w:r>
        <w:t xml:space="preserve">scenario work already underway at Lloyd’s Futureset and elsewhere. Happy to</w:t>
      </w:r>
      <w:r>
        <w:t xml:space="preserve"> </w:t>
      </w:r>
      <w:r>
        <w:t xml:space="preserve">connect at RIMS, Monte Carlo Rendez-Vous, or directly with your exposure</w:t>
      </w:r>
      <w:r>
        <w:t xml:space="preserve"> </w:t>
      </w:r>
      <w:r>
        <w:t xml:space="preserve">management team.</w:t>
      </w:r>
    </w:p>
    <w:p>
      <w:pPr>
        <w:pStyle w:val="BodyText"/>
      </w:pPr>
      <w:r>
        <w:t xml:space="preserve">Appreciate the work of pricing risks most people would rather not think</w:t>
      </w:r>
      <w:r>
        <w:t xml:space="preserve"> </w:t>
      </w:r>
      <w:r>
        <w:t xml:space="preserve">about at all.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11-compiled-briefing-packet"/>
    <w:p>
      <w:pPr>
        <w:pStyle w:val="Heading1"/>
      </w:pPr>
      <w:r>
        <w:t xml:space="preserve">CSMEval11 — COMPILED BRIEFING PACKET</w:t>
      </w:r>
    </w:p>
    <w:bookmarkStart w:id="10" w:name="Xf8a0d72ed25b0887a607f7d452e9a951ace3814"/>
    <w:p>
      <w:pPr>
        <w:pStyle w:val="Heading2"/>
      </w:pPr>
      <w:r>
        <w:t xml:space="preserve">Property &amp; Casualty Insurance and Reinsurance Industry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(CSMEval11),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The Mitigation Layer Underneath Your Systemic Risk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You Didn’t Need Convincing. You Needed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Landing This During Peak Attention, Not After It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"Counting What Actually Counts"</w:t>
      </w:r>
    </w:p>
    <w:p>
      <w:pPr>
        <w:pStyle w:val="FirstParagraph"/>
      </w:pPr>
      <w:r>
        <w:t xml:space="preserve">Lloyd’s Futureset already built the scenario model. What it can’t do from the</w:t>
      </w:r>
      <w:r>
        <w:t xml:space="preserve"> </w:t>
      </w:r>
      <w:r>
        <w:t xml:space="preserve">underwriting desk is tell a client what to actually go buy. That’s the layer</w:t>
      </w:r>
      <w:r>
        <w:t xml:space="preserve"> </w:t>
      </w:r>
      <w:r>
        <w:t xml:space="preserve">this briefing supplies — physical mitigation data, organized the way your</w:t>
      </w:r>
      <w:r>
        <w:t xml:space="preserve"> </w:t>
      </w:r>
      <w:r>
        <w:t xml:space="preserve">specialty lines are already organized, so it drops into an existing</w:t>
      </w:r>
      <w:r>
        <w:t xml:space="preserve"> </w:t>
      </w:r>
      <w:r>
        <w:t xml:space="preserve">underwriting or risk-engineering conversation instead of requiring a new one.</w:t>
      </w:r>
    </w:p>
    <w:p>
      <w:pPr>
        <w:pStyle w:val="SourceCode"/>
      </w:pPr>
      <w:r>
        <w:rPr>
          <w:rStyle w:val="VerbatimChar"/>
        </w:rPr>
        <w:t xml:space="preserve">             THE MITIGATION LAYER UNDERNEATH YOUR SYSTEMIC RISK MODEL</w:t>
      </w:r>
      <w:r>
        <w:br/>
      </w:r>
      <w:r>
        <w:rPr>
          <w:rStyle w:val="VerbatimChar"/>
        </w:rPr>
        <w:t xml:space="preserve">             CSMEval11-A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CSM hardening research organized by specialty line, for use in</w:t>
      </w:r>
      <w:r>
        <w:t xml:space="preserve"> </w:t>
      </w:r>
      <w:r>
        <w:t xml:space="preserve">underwriting credit/discount frameworks and client risk-engineering</w:t>
      </w:r>
      <w:r>
        <w:t xml:space="preserve"> </w:t>
      </w:r>
      <w:r>
        <w:t xml:space="preserve">deliverables.</w:t>
      </w:r>
    </w:p>
    <w:p>
      <w:pPr>
        <w:pStyle w:val="Compact"/>
        <w:numPr>
          <w:ilvl w:val="0"/>
          <w:numId w:val="1002"/>
        </w:numPr>
      </w:pPr>
      <w:r>
        <w:t xml:space="preserve">ENERGY/UTILITY LINES — full Aegis grid-hardening suite (structures,</w:t>
      </w:r>
      <w:r>
        <w:t xml:space="preserve"> </w:t>
      </w:r>
      <w:r>
        <w:t xml:space="preserve">fencing, monitoring); directly informs GIC-exposure underwriting for</w:t>
      </w:r>
      <w:r>
        <w:t xml:space="preserve"> </w:t>
      </w:r>
      <w:r>
        <w:t xml:space="preserve">utility and generation accounts.</w:t>
      </w:r>
    </w:p>
    <w:p>
      <w:pPr>
        <w:pStyle w:val="Compact"/>
        <w:numPr>
          <w:ilvl w:val="0"/>
          <w:numId w:val="1002"/>
        </w:numPr>
      </w:pPr>
      <w:r>
        <w:t xml:space="preserve">MARINE LINES — Charlemagne Fleet and cruise-ship resilience research;</w:t>
      </w:r>
      <w:r>
        <w:t xml:space="preserve"> </w:t>
      </w:r>
      <w:r>
        <w:t xml:space="preserve">quantifies hull/systems exposure for marine hull and P&amp;I accounts.</w:t>
      </w:r>
    </w:p>
    <w:p>
      <w:pPr>
        <w:pStyle w:val="Compact"/>
        <w:numPr>
          <w:ilvl w:val="0"/>
          <w:numId w:val="1002"/>
        </w:numPr>
      </w:pPr>
      <w:r>
        <w:t xml:space="preserve">AVIATION/AEROSPACE LINES — A-10 redesign and Smart Rope research</w:t>
      </w:r>
      <w:r>
        <w:t xml:space="preserve"> </w:t>
      </w:r>
      <w:r>
        <w:t xml:space="preserve">informs airframe/launch-vehicle exposure quantification.</w:t>
      </w:r>
    </w:p>
    <w:p>
      <w:pPr>
        <w:pStyle w:val="Compact"/>
        <w:numPr>
          <w:ilvl w:val="0"/>
          <w:numId w:val="1002"/>
        </w:numPr>
      </w:pPr>
      <w:r>
        <w:t xml:space="preserve">BUSINESS-INTERRUPTION / DATA CENTER LINES — Aegis-C composite shielding</w:t>
      </w:r>
      <w:r>
        <w:t xml:space="preserve"> </w:t>
      </w:r>
      <w:r>
        <w:t xml:space="preserve">specifications inform BI exposure modeling for data-center and telecom</w:t>
      </w:r>
      <w:r>
        <w:t xml:space="preserve"> </w:t>
      </w:r>
      <w:r>
        <w:t xml:space="preserve">accounts.</w:t>
      </w:r>
    </w:p>
    <w:p>
      <w:pPr>
        <w:pStyle w:val="FirstParagraph"/>
      </w:pPr>
      <w:r>
        <w:t xml:space="preserve">HOW THIS DIFFERS FROM A CATASTROPHE MODEL</w:t>
      </w:r>
      <w:r>
        <w:t xml:space="preserve"> </w:t>
      </w:r>
      <w:r>
        <w:t xml:space="preserve">Cat models tell you the size of the loss. This corpus is about the size of</w:t>
      </w:r>
      <w:r>
        <w:t xml:space="preserve"> </w:t>
      </w:r>
      <w:r>
        <w:t xml:space="preserve">the loss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 specific mitigation is in place — the delta a risk</w:t>
      </w:r>
      <w:r>
        <w:t xml:space="preserve"> </w:t>
      </w:r>
      <w:r>
        <w:t xml:space="preserve">engineer needs to make a credit/discount case to underwriting, and the delta</w:t>
      </w:r>
      <w:r>
        <w:t xml:space="preserve"> </w:t>
      </w:r>
      <w:r>
        <w:t xml:space="preserve">a broker needs to make a case to a client for actually buying the</w:t>
      </w:r>
      <w:r>
        <w:t xml:space="preserve"> </w:t>
      </w:r>
      <w:r>
        <w:t xml:space="preserve">mitigation.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lays out exactly why this sector is, right now, the most</w:t>
      </w:r>
      <w:r>
        <w:t xml:space="preserve"> </w:t>
      </w:r>
      <w:r>
        <w:t xml:space="preserve">receptive audience in this entire outreach series — not a claim we’re making</w:t>
      </w:r>
      <w:r>
        <w:t xml:space="preserve"> </w:t>
      </w:r>
      <w:r>
        <w:t xml:space="preserve">lightly.</w:t>
      </w:r>
    </w:p>
    <w:p>
      <w:pPr>
        <w:pStyle w:val="BodyText"/>
      </w:pPr>
      <w:r>
        <w:t xml:space="preserve">The model tells you the number. This is the paperwork for making the number smaller.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Every other briefing in this series spends real effort establishing that the</w:t>
      </w:r>
      <w:r>
        <w:t xml:space="preserve"> </w:t>
      </w:r>
      <w:r>
        <w:t xml:space="preserve">risk is real. This one gets to skip that entirely, because you already did</w:t>
      </w:r>
      <w:r>
        <w:t xml:space="preserve"> </w:t>
      </w:r>
      <w:r>
        <w:t xml:space="preserve">that work yourselves, in public, with real numbers attached. That changes</w:t>
      </w:r>
      <w:r>
        <w:t xml:space="preserve"> </w:t>
      </w:r>
      <w:r>
        <w:t xml:space="preserve">what this briefing needs to do — not persuade, just deliver.</w:t>
      </w:r>
    </w:p>
    <w:p>
      <w:pPr>
        <w:pStyle w:val="SourceCode"/>
      </w:pPr>
      <w:r>
        <w:rPr>
          <w:rStyle w:val="VerbatimChar"/>
        </w:rPr>
        <w:t xml:space="preserve">             YOU DIDN'T NEED CONVINCING. YOU NEEDED DATA.</w:t>
      </w:r>
      <w:r>
        <w:br/>
      </w:r>
      <w:r>
        <w:rPr>
          <w:rStyle w:val="VerbatimChar"/>
        </w:rPr>
        <w:t xml:space="preserve">             CSMEval11-B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this sector is the most actively receptive audience in the</w:t>
      </w:r>
      <w:r>
        <w:t xml:space="preserve"> </w:t>
      </w:r>
      <w:r>
        <w:t xml:space="preserve">entire CSMEval outreach series, based on the sector’s own already-published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Lloyd’s of London published a systemic risk scenario in March 2025 modeling</w:t>
      </w:r>
      <w:r>
        <w:t xml:space="preserve"> </w:t>
      </w:r>
      <w:r>
        <w:t xml:space="preserve">a hypothetical severe solar storm at $2.4 trillion in global economic</w:t>
      </w:r>
      <w:r>
        <w:t xml:space="preserve"> </w:t>
      </w:r>
      <w:r>
        <w:t xml:space="preserve">losses over five years, with expected direct insurance loss of roughly</w:t>
      </w:r>
      <w:r>
        <w:t xml:space="preserve"> </w:t>
      </w:r>
      <w:r>
        <w:t xml:space="preserve">$17 billion.</w:t>
      </w:r>
      <w:r>
        <w:t xml:space="preserve"> </w:t>
      </w:r>
      <w:r>
        <w:t xml:space="preserve">• As recently as January 2026, trade press reported insurers and brokers</w:t>
      </w:r>
      <w:r>
        <w:t xml:space="preserve"> </w:t>
      </w:r>
      <w:r>
        <w:t xml:space="preserve">placed on alert following a G4 storm watch, with explicit guidance to</w:t>
      </w:r>
      <w:r>
        <w:t xml:space="preserve"> </w:t>
      </w:r>
      <w:r>
        <w:t xml:space="preserve">stress-test clients’ reliance on power, satellites, and timing-sensitive</w:t>
      </w:r>
      <w:r>
        <w:t xml:space="preserve"> </w:t>
      </w:r>
      <w:r>
        <w:t xml:space="preserve">supply chains ahead of</w:t>
      </w:r>
      <w:r>
        <w:t xml:space="preserve"> </w:t>
      </w:r>
      <w:r>
        <w:t xml:space="preserve">“the big one.”</w:t>
      </w:r>
      <w:r>
        <w:t xml:space="preserve"> </w:t>
      </w:r>
      <w:r>
        <w:t xml:space="preserve">• Lloyd’s underwrites nearly a third of all global space risk, meaning</w:t>
      </w:r>
      <w:r>
        <w:t xml:space="preserve"> </w:t>
      </w:r>
      <w:r>
        <w:t xml:space="preserve">satellite/launch exposure (CSMEval18) is already priced by this sector</w:t>
      </w:r>
      <w:r>
        <w:t xml:space="preserve"> </w:t>
      </w:r>
      <w:r>
        <w:t xml:space="preserve">today, not hypothetically.</w:t>
      </w:r>
      <w:r>
        <w:t xml:space="preserve"> </w:t>
      </w:r>
      <w:r>
        <w:t xml:space="preserve">• This sector is mid-cycle on active scenario-modeling work right now — it is</w:t>
      </w:r>
      <w:r>
        <w:t xml:space="preserve"> </w:t>
      </w:r>
      <w:r>
        <w:t xml:space="preserve">building models and actively looking for mitigation/hardening data to</w:t>
      </w:r>
      <w:r>
        <w:t xml:space="preserve"> </w:t>
      </w:r>
      <w:r>
        <w:t xml:space="preserve">inform pricing, exclusions, and client risk-engineering services.</w:t>
      </w:r>
    </w:p>
    <w:p>
      <w:pPr>
        <w:pStyle w:val="BodyText"/>
      </w:pPr>
      <w:r>
        <w:t xml:space="preserve">WHY THIS CHANGES THE OUTREACH APPROACH</w:t>
      </w:r>
      <w:r>
        <w:t xml:space="preserve"> </w:t>
      </w:r>
      <w:r>
        <w:t xml:space="preserve">Most of this series leads with urgency. This briefing leads with data density</w:t>
      </w:r>
      <w:r>
        <w:t xml:space="preserve"> </w:t>
      </w:r>
      <w:r>
        <w:t xml:space="preserve">instead, because the urgency conversation is already over in this sector —</w:t>
      </w:r>
      <w:r>
        <w:t xml:space="preserve"> </w:t>
      </w:r>
      <w:r>
        <w:t xml:space="preserve">what’s left is making sure the mitigation data is organized the way</w:t>
      </w:r>
      <w:r>
        <w:t xml:space="preserve"> </w:t>
      </w:r>
      <w:r>
        <w:t xml:space="preserve">underwriters actually use it.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exact venues (Lloyd’s Futureset, RIMS, Monte Carlo</w:t>
      </w:r>
      <w:r>
        <w:t xml:space="preserve"> </w:t>
      </w:r>
      <w:r>
        <w:t xml:space="preserve">Rendez-Vous) where this data is most useful, and when.</w:t>
      </w:r>
    </w:p>
    <w:p>
      <w:pPr>
        <w:pStyle w:val="BodyText"/>
      </w:pPr>
      <w:r>
        <w:t xml:space="preserve">You built the model. We just want to make sure the mitigation column isn’t blank.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"Numbers In Service of People"</w:t>
      </w:r>
    </w:p>
    <w:p>
      <w:pPr>
        <w:pStyle w:val="FirstParagraph"/>
      </w:pPr>
      <w:r>
        <w:t xml:space="preserve">Timing matters more in this sector than almost any other on this list —</w:t>
      </w:r>
      <w:r>
        <w:t xml:space="preserve"> </w:t>
      </w:r>
      <w:r>
        <w:t xml:space="preserve">insurance and reinsurance attention has a real calendar, and missing it by a</w:t>
      </w:r>
      <w:r>
        <w:t xml:space="preserve"> </w:t>
      </w:r>
      <w:r>
        <w:t xml:space="preserve">month is the difference between</w:t>
      </w:r>
      <w:r>
        <w:t xml:space="preserve"> </w:t>
      </w:r>
      <w:r>
        <w:t xml:space="preserve">“on the agenda”</w:t>
      </w:r>
      <w:r>
        <w:t xml:space="preserve"> </w:t>
      </w:r>
      <w:r>
        <w:t xml:space="preserve">and</w:t>
      </w:r>
      <w:r>
        <w:t xml:space="preserve"> </w:t>
      </w:r>
      <w:r>
        <w:t xml:space="preserve">“next year.”</w:t>
      </w:r>
    </w:p>
    <w:p>
      <w:pPr>
        <w:pStyle w:val="SourceCode"/>
      </w:pPr>
      <w:r>
        <w:rPr>
          <w:rStyle w:val="VerbatimChar"/>
        </w:rPr>
        <w:t xml:space="preserve">             LANDING DURING PEAK ATTENTION, NOT AFTER IT</w:t>
      </w:r>
      <w:r>
        <w:br/>
      </w:r>
      <w:r>
        <w:rPr>
          <w:rStyle w:val="VerbatimChar"/>
        </w:rPr>
        <w:t xml:space="preserve">             CSMEval11-C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highest-leverage timing windows and venues for delivering</w:t>
      </w:r>
      <w:r>
        <w:t xml:space="preserve"> </w:t>
      </w:r>
      <w:r>
        <w:t xml:space="preserve">mitigation data to the insurance/reinsurance sector.</w:t>
      </w:r>
    </w:p>
    <w:p>
      <w:pPr>
        <w:pStyle w:val="BodyText"/>
      </w:pPr>
      <w:r>
        <w:t xml:space="preserve">PRIMARY VENUE — LLOYD’S MARKET ASSOCIATION / LLOYD’S FUTURESET</w:t>
      </w:r>
      <w:r>
        <w:t xml:space="preserve"> </w:t>
      </w:r>
      <w:r>
        <w:t xml:space="preserve">The systemic risk scenario program already active in this exact space —</w:t>
      </w:r>
      <w:r>
        <w:t xml:space="preserve"> </w:t>
      </w:r>
      <w:r>
        <w:t xml:space="preserve">the most directly relevant existing relationship to build on rather than</w:t>
      </w:r>
      <w:r>
        <w:t xml:space="preserve"> </w:t>
      </w:r>
      <w:r>
        <w:t xml:space="preserve">starting cold.</w:t>
      </w:r>
    </w:p>
    <w:p>
      <w:pPr>
        <w:pStyle w:val="BodyText"/>
      </w:pPr>
      <w:r>
        <w:t xml:space="preserve">SEASONAL VENUES</w:t>
      </w:r>
      <w:r>
        <w:t xml:space="preserve"> </w:t>
      </w:r>
      <w:r>
        <w:t xml:space="preserve">• RIMS Annual Conference (April/May) — risk management and insurance buyers.</w:t>
      </w:r>
      <w:r>
        <w:t xml:space="preserve"> </w:t>
      </w:r>
      <w:r>
        <w:t xml:space="preserve">• Monte Carlo Rendez-Vous (September) — the major reinsurance industry</w:t>
      </w:r>
      <w:r>
        <w:t xml:space="preserve"> </w:t>
      </w:r>
      <w:r>
        <w:t xml:space="preserve">gathering; outreach timed here reaches treaty-renewal-season decision-makers.</w:t>
      </w:r>
      <w:r>
        <w:t xml:space="preserve"> </w:t>
      </w:r>
      <w:r>
        <w:t xml:space="preserve">• Bermuda Risk Summit — specialty/catastrophe-focused reinsurance audience.</w:t>
      </w:r>
    </w:p>
    <w:p>
      <w:pPr>
        <w:pStyle w:val="BodyText"/>
      </w:pPr>
      <w:r>
        <w:t xml:space="preserve">ASSOCIATION CHANNEL</w:t>
      </w:r>
      <w:r>
        <w:t xml:space="preserve"> </w:t>
      </w:r>
      <w:r>
        <w:t xml:space="preserve">Reinsurance Association of America (RAA) — engage via RAA’s public</w:t>
      </w:r>
      <w:r>
        <w:t xml:space="preserve"> </w:t>
      </w:r>
      <w:r>
        <w:t xml:space="preserve">industry-affairs channel for broader reinsurer reach beyond the</w:t>
      </w:r>
      <w:r>
        <w:t xml:space="preserve"> </w:t>
      </w:r>
      <w:r>
        <w:t xml:space="preserve">Lloyd’s/Bermuda/Monte Carlo circuit.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Lloyd’s Futureset (existing relevant program — warmest introduction).</w:t>
      </w:r>
      <w:r>
        <w:t xml:space="preserve"> </w:t>
      </w:r>
      <w:r>
        <w:t xml:space="preserve">2. RIMS (April/May) for broker/risk-engineering audience.</w:t>
      </w:r>
      <w:r>
        <w:t xml:space="preserve"> </w:t>
      </w:r>
      <w:r>
        <w:t xml:space="preserve">3. Monte Carlo Rendez-Vous (September) for reinsurance treaty-cycle audience.</w:t>
      </w:r>
    </w:p>
    <w:p>
      <w:pPr>
        <w:pStyle w:val="BodyText"/>
      </w:pPr>
      <w:r>
        <w:t xml:space="preserve">Right data, right room, right week — in this sector, the week is half the strategy.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CSMEval11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CSMEval11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CSMEval11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