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CSMEval12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the Aegis Embark interior component line</w:t>
      </w:r>
      <w:r>
        <w:t xml:space="preserve"> </w:t>
      </w:r>
      <w:r>
        <w:t xml:space="preserve">(pedal, steering, seat, cabin-EMI, child-seat, and post-GPS navigation</w:t>
      </w:r>
      <w:r>
        <w:t xml:space="preserve"> </w:t>
      </w:r>
      <w:r>
        <w:t xml:space="preserve">components) from Carrington Storm Motors, along with the biodynamic research</w:t>
      </w:r>
      <w:r>
        <w:t xml:space="preserve"> </w:t>
      </w:r>
      <w:r>
        <w:t xml:space="preserve">base behind it and the GNSS-disruption case (the May 2024 Gannon Storm’s</w:t>
      </w:r>
      <w:r>
        <w:t xml:space="preserve"> </w:t>
      </w:r>
      <w:r>
        <w:t xml:space="preserve">effect on precision-agriculture GPS) that motivates the navigation-redundancy</w:t>
      </w:r>
      <w:r>
        <w:t xml:space="preserve"> </w:t>
      </w:r>
      <w:r>
        <w:t xml:space="preserve">piece specifically. We’d welcome a slot on an upcoming supplier day or</w:t>
      </w:r>
      <w:r>
        <w:t xml:space="preserve"> </w:t>
      </w:r>
      <w:r>
        <w:t xml:space="preserve">innovation-scouting review.</w:t>
      </w:r>
    </w:p>
    <w:p>
      <w:pPr>
        <w:pStyle w:val="BodyText"/>
      </w:pPr>
      <w:r>
        <w:t xml:space="preserve">Look forward to hearing whether any of this earns a place on the next</w:t>
      </w:r>
      <w:r>
        <w:t xml:space="preserve"> </w:t>
      </w:r>
      <w:r>
        <w:t xml:space="preserve">prototype build.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2-compiled-briefing-packet"/>
    <w:p>
      <w:pPr>
        <w:pStyle w:val="Heading1"/>
      </w:pPr>
      <w:r>
        <w:t xml:space="preserve">CSMEval12 — COMPILED BRIEFING PACKET</w:t>
      </w:r>
    </w:p>
    <w:bookmarkStart w:id="10" w:name="automotive-oems-tier-12-suppliers"/>
    <w:p>
      <w:pPr>
        <w:pStyle w:val="Heading2"/>
      </w:pPr>
      <w:r>
        <w:t xml:space="preserve">Automotive OEMs &amp; Tier 1/2 Suppliers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(CSMEval12),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Thirteen Components, Already Specified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Your Farm-Equipment Problem Is Coming to the Sedan Aisle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Supplier Day Is the Whole Strategy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Automotive Systems Division | "Making Tomorrow Better, Starting Yesterday"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“innovation pitch”</w:t>
      </w:r>
      <w:r>
        <w:t xml:space="preserve"> </w:t>
      </w:r>
      <w:r>
        <w:t xml:space="preserve">emails describe a concept. This one describes a</w:t>
      </w:r>
      <w:r>
        <w:t xml:space="preserve"> </w:t>
      </w:r>
      <w:r>
        <w:t xml:space="preserve">parts bin — thirteen of them, actually, each with a finished design brief,</w:t>
      </w:r>
      <w:r>
        <w:t xml:space="preserve"> </w:t>
      </w:r>
      <w:r>
        <w:t xml:space="preserve">each solving a specific vibration, EMI, or navigation-redundancy problem your</w:t>
      </w:r>
      <w:r>
        <w:t xml:space="preserve"> </w:t>
      </w:r>
      <w:r>
        <w:t xml:space="preserve">NVH and human-factors teams already track. We did the unglamorous part</w:t>
      </w:r>
      <w:r>
        <w:t xml:space="preserve"> </w:t>
      </w:r>
      <w:r>
        <w:t xml:space="preserve">already: turning</w:t>
      </w:r>
      <w:r>
        <w:t xml:space="preserve"> </w:t>
      </w:r>
      <w:r>
        <w:t xml:space="preserve">“vibration is bad”</w:t>
      </w:r>
      <w:r>
        <w:t xml:space="preserve"> </w:t>
      </w:r>
      <w:r>
        <w:t xml:space="preserve">into thirteen specific things you could</w:t>
      </w:r>
      <w:r>
        <w:t xml:space="preserve"> </w:t>
      </w:r>
      <w:r>
        <w:t xml:space="preserve">put on a supplier-day agenda.</w:t>
      </w:r>
    </w:p>
    <w:p>
      <w:pPr>
        <w:pStyle w:val="SourceCode"/>
      </w:pPr>
      <w:r>
        <w:rPr>
          <w:rStyle w:val="VerbatimChar"/>
        </w:rPr>
        <w:t xml:space="preserve">             THIRTEEN COMPONENTS, ALREADY SPECIFIED</w:t>
      </w:r>
      <w:r>
        <w:br/>
      </w:r>
      <w:r>
        <w:rPr>
          <w:rStyle w:val="VerbatimChar"/>
        </w:rPr>
        <w:t xml:space="preserve">             CSMEval12-A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Aegis Embark interior component line and its supporting</w:t>
      </w:r>
      <w:r>
        <w:t xml:space="preserve"> </w:t>
      </w:r>
      <w:r>
        <w:t xml:space="preserve">biodynamic research base, organized by the vehicle-occupant exposure point</w:t>
      </w:r>
      <w:r>
        <w:t xml:space="preserve"> </w:t>
      </w:r>
      <w:r>
        <w:t xml:space="preserve">each component addresses.</w:t>
      </w:r>
    </w:p>
    <w:p>
      <w:pPr>
        <w:pStyle w:val="BodyText"/>
      </w:pPr>
      <w:r>
        <w:t xml:space="preserve">FEET/PEDALS — Grounding-Sole footwear concept, Vibra-Volt pedal covers</w:t>
      </w:r>
      <w:r>
        <w:t xml:space="preserve"> </w:t>
      </w:r>
      <w:r>
        <w:t xml:space="preserve">(CSMFAB024, 026): pedal-transmitted vibration damping.</w:t>
      </w:r>
    </w:p>
    <w:p>
      <w:pPr>
        <w:pStyle w:val="BodyText"/>
      </w:pPr>
      <w:r>
        <w:t xml:space="preserve">HANDS/STEERING — Neural-Grip MRE steering wheel wrap (CSMFAB029):</w:t>
      </w:r>
      <w:r>
        <w:t xml:space="preserve"> </w:t>
      </w:r>
      <w:r>
        <w:t xml:space="preserve">hand-arm vibration exposure reduction.</w:t>
      </w:r>
    </w:p>
    <w:p>
      <w:pPr>
        <w:pStyle w:val="BodyText"/>
      </w:pPr>
      <w:r>
        <w:t xml:space="preserve">SEATED/CERVICAL — Cervical-Guard headrest, Mag-Float diamagnetic seat rail</w:t>
      </w:r>
      <w:r>
        <w:t xml:space="preserve"> </w:t>
      </w:r>
      <w:r>
        <w:t xml:space="preserve">(CSMFAB030, 031): whole-body and cervical vibration exposure.</w:t>
      </w:r>
    </w:p>
    <w:p>
      <w:pPr>
        <w:pStyle w:val="BodyText"/>
      </w:pPr>
      <w:r>
        <w:t xml:space="preserve">CABIN EMI/ACOUSTIC (EV-SPECIFIC) — Silence-Block LRAM door inserts,</w:t>
      </w:r>
      <w:r>
        <w:t xml:space="preserve"> </w:t>
      </w:r>
      <w:r>
        <w:t xml:space="preserve">Stellar-Tint EMI window film (CSMFAB032, 034): cabin EMI and acoustic</w:t>
      </w:r>
      <w:r>
        <w:t xml:space="preserve"> </w:t>
      </w:r>
      <w:r>
        <w:t xml:space="preserve">noise reduction relevant to EV-specific NVH profiles.</w:t>
      </w:r>
    </w:p>
    <w:p>
      <w:pPr>
        <w:pStyle w:val="BodyText"/>
      </w:pPr>
      <w:r>
        <w:t xml:space="preserve">CHILD PASSENGER — Cloud-Nest aerogel child seat base (CSMFAB028): thermal</w:t>
      </w:r>
      <w:r>
        <w:t xml:space="preserve"> </w:t>
      </w:r>
      <w:r>
        <w:t xml:space="preserve">and vibration protection for child passengers.</w:t>
      </w:r>
    </w:p>
    <w:p>
      <w:pPr>
        <w:pStyle w:val="BodyText"/>
      </w:pPr>
      <w:r>
        <w:t xml:space="preserve">NAVIGATION REDUNDANCY — Way-Finder haptic insoles (CSMFAB038): post-GPS</w:t>
      </w:r>
      <w:r>
        <w:t xml:space="preserve"> </w:t>
      </w:r>
      <w:r>
        <w:t xml:space="preserve">wayfinding concept, relevant to the GPS-degradation risk documented during</w:t>
      </w:r>
      <w:r>
        <w:t xml:space="preserve"> </w:t>
      </w:r>
      <w:r>
        <w:t xml:space="preserve">the May 2024 Gannon Storm.</w:t>
      </w:r>
    </w:p>
    <w:p>
      <w:pPr>
        <w:pStyle w:val="BodyText"/>
      </w:pPr>
      <w:r>
        <w:t xml:space="preserve">THE RESEARCH BASE BEHIND ALL THIRTEEN</w:t>
      </w:r>
      <w:r>
        <w:t xml:space="preserve"> </w:t>
      </w:r>
      <w:r>
        <w:t xml:space="preserve">The full CSMHuman corpus (37 documents) provides the biophysical</w:t>
      </w:r>
      <w:r>
        <w:t xml:space="preserve"> </w:t>
      </w:r>
      <w:r>
        <w:t xml:space="preserve">justification underlying every component above — available in full for any</w:t>
      </w:r>
      <w:r>
        <w:t xml:space="preserve"> </w:t>
      </w:r>
      <w:r>
        <w:t xml:space="preserve">technical-review team that wants to check our homework component by</w:t>
      </w:r>
      <w:r>
        <w:t xml:space="preserve"> </w:t>
      </w:r>
      <w:r>
        <w:t xml:space="preserve">component.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vehicle GPS/EMI vulnerability is a nearer-</w:t>
      </w:r>
      <w:r>
        <w:t xml:space="preserve"> </w:t>
      </w:r>
      <w:r>
        <w:t xml:space="preserve">term concern than most NVH roadmaps currently assume.</w:t>
      </w:r>
    </w:p>
    <w:p>
      <w:pPr>
        <w:pStyle w:val="BodyText"/>
      </w:pPr>
      <w:r>
        <w:t xml:space="preserve">Thirteen parts, one supplier-day agenda, zero concepts left to invent from scratch.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Farm equipment</w:t>
      </w:r>
      <w:r>
        <w:t xml:space="preserve"> </w:t>
      </w:r>
      <w:r>
        <w:t xml:space="preserve">“dancing”</w:t>
      </w:r>
      <w:r>
        <w:t xml:space="preserve"> </w:t>
      </w:r>
      <w:r>
        <w:t xml:space="preserve">off-course during the May 2024 Gannon Storm made for</w:t>
      </w:r>
      <w:r>
        <w:t xml:space="preserve"> </w:t>
      </w:r>
      <w:r>
        <w:t xml:space="preserve">a strange, slightly funny news cycle — GPS-guided tractors briefly</w:t>
      </w:r>
      <w:r>
        <w:t xml:space="preserve"> </w:t>
      </w:r>
      <w:r>
        <w:t xml:space="preserve">forgetting geometry. It stopped being funny the moment you remember that</w:t>
      </w:r>
      <w:r>
        <w:t xml:space="preserve"> </w:t>
      </w:r>
      <w:r>
        <w:t xml:space="preserve">lane-keeping, adaptive cruise, and turn-by-turn navigation in passenger</w:t>
      </w:r>
      <w:r>
        <w:t xml:space="preserve"> </w:t>
      </w:r>
      <w:r>
        <w:t xml:space="preserve">vehicles run on exactly the same GNSS dependency.</w:t>
      </w:r>
    </w:p>
    <w:p>
      <w:pPr>
        <w:pStyle w:val="SourceCode"/>
      </w:pPr>
      <w:r>
        <w:rPr>
          <w:rStyle w:val="VerbatimChar"/>
        </w:rPr>
        <w:t xml:space="preserve">             YOUR FARM-EQUIPMENT PROBLEM IS COMING TO THE SEDAN AISLE</w:t>
      </w:r>
      <w:r>
        <w:br/>
      </w:r>
      <w:r>
        <w:rPr>
          <w:rStyle w:val="VerbatimChar"/>
        </w:rPr>
        <w:t xml:space="preserve">             CSMEval12-B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vehicle-level GIC/EMI vulnerability and GNSS-dependent driver-</w:t>
      </w:r>
      <w:r>
        <w:t xml:space="preserve"> </w:t>
      </w:r>
      <w:r>
        <w:t xml:space="preserve">assistance systems represent a nearer-term concern than typical NVH/ADAS</w:t>
      </w:r>
      <w:r>
        <w:t xml:space="preserve"> </w:t>
      </w:r>
      <w:r>
        <w:t xml:space="preserve">roadmap planning currently assumes.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Modern vehicles, especially EVs, are dense, GPS-dependent, electronically</w:t>
      </w:r>
      <w:r>
        <w:t xml:space="preserve"> </w:t>
      </w:r>
      <w:r>
        <w:t xml:space="preserve">controlled platforms — a profile shared with the precision-agriculture</w:t>
      </w:r>
      <w:r>
        <w:t xml:space="preserve"> </w:t>
      </w:r>
      <w:r>
        <w:t xml:space="preserve">equipment that visibly malfunctioned during the May 2024 Gannon Storm.</w:t>
      </w:r>
      <w:r>
        <w:t xml:space="preserve"> </w:t>
      </w:r>
      <w:r>
        <w:t xml:space="preserve">• The same GNSS-dependent systems used for lane-keeping, adaptive cruise, and</w:t>
      </w:r>
      <w:r>
        <w:t xml:space="preserve"> </w:t>
      </w:r>
      <w:r>
        <w:t xml:space="preserve">navigation in passenger vehicles are not inherently immune to the effect</w:t>
      </w:r>
      <w:r>
        <w:t xml:space="preserve"> </w:t>
      </w:r>
      <w:r>
        <w:t xml:space="preserve">documented in agricultural equipment.</w:t>
      </w:r>
      <w:r>
        <w:t xml:space="preserve"> </w:t>
      </w:r>
      <w:r>
        <w:t xml:space="preserve">• Occupants are simultaneously exposed to vehicle-level EM vulnerability and</w:t>
      </w:r>
      <w:r>
        <w:t xml:space="preserve"> </w:t>
      </w:r>
      <w:r>
        <w:t xml:space="preserve">occupant-level vibration/biodynamic hazard — a dual research domain the</w:t>
      </w:r>
      <w:r>
        <w:t xml:space="preserve"> </w:t>
      </w:r>
      <w:r>
        <w:t xml:space="preserve">CSMHuman corpus documents in detail (HAVS-adjacent pedal/steering/seat</w:t>
      </w:r>
      <w:r>
        <w:t xml:space="preserve"> </w:t>
      </w:r>
      <w:r>
        <w:t xml:space="preserve">vibration).</w:t>
      </w:r>
      <w:r>
        <w:t xml:space="preserve"> </w:t>
      </w:r>
      <w:r>
        <w:t xml:space="preserve">• This sector has the most fully-realized, ready-to-license CSM product</w:t>
      </w:r>
      <w:r>
        <w:t xml:space="preserve"> </w:t>
      </w:r>
      <w:r>
        <w:t xml:space="preserve">catalog of any sector on this list — thirteen distinct interior components</w:t>
      </w:r>
      <w:r>
        <w:t xml:space="preserve"> </w:t>
      </w:r>
      <w:r>
        <w:t xml:space="preserve">already exist as complete design briefs, not concepts.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ADAS/navigation roadmaps built without GNSS-degradation contingency carry</w:t>
      </w:r>
      <w:r>
        <w:t xml:space="preserve"> </w:t>
      </w:r>
      <w:r>
        <w:t xml:space="preserve">forward the same failure mode already observed in a real 2024 event.</w:t>
      </w:r>
      <w:r>
        <w:t xml:space="preserve"> </w:t>
      </w:r>
      <w:r>
        <w:t xml:space="preserve">• Interior NVH programs that don’t account for the biodynamic research base</w:t>
      </w:r>
      <w:r>
        <w:t xml:space="preserve"> </w:t>
      </w:r>
      <w:r>
        <w:t xml:space="preserve">in CSMHuman may be solving a narrower version of the vibration-exposure</w:t>
      </w:r>
      <w:r>
        <w:t xml:space="preserve"> </w:t>
      </w:r>
      <w:r>
        <w:t xml:space="preserve">problem than the data actually supports.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supplier-day, SAE, and CES channels where this</w:t>
      </w:r>
      <w:r>
        <w:t xml:space="preserve"> </w:t>
      </w:r>
      <w:r>
        <w:t xml:space="preserve">component catalog is best introduced.</w:t>
      </w:r>
    </w:p>
    <w:p>
      <w:pPr>
        <w:pStyle w:val="BodyText"/>
      </w:pPr>
      <w:r>
        <w:t xml:space="preserve">Tractors first, sedans next — the physics doesn’t care what it’s steering.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This sector already has a built-in mechanism for exactly this kind of</w:t>
      </w:r>
      <w:r>
        <w:t xml:space="preserve"> </w:t>
      </w:r>
      <w:r>
        <w:t xml:space="preserve">pitch — the supplier day / innovation-scouting review. We just need to get on</w:t>
      </w:r>
      <w:r>
        <w:t xml:space="preserve"> </w:t>
      </w:r>
      <w:r>
        <w:t xml:space="preserve">the agenda.</w:t>
      </w:r>
    </w:p>
    <w:p>
      <w:pPr>
        <w:pStyle w:val="SourceCode"/>
      </w:pPr>
      <w:r>
        <w:rPr>
          <w:rStyle w:val="VerbatimChar"/>
        </w:rPr>
        <w:t xml:space="preserve">             SUPPLIER DAY IS THE WHOLE STRATEGY</w:t>
      </w:r>
      <w:r>
        <w:br/>
      </w:r>
      <w:r>
        <w:rPr>
          <w:rStyle w:val="VerbatimChar"/>
        </w:rPr>
        <w:t xml:space="preserve">             CSMEval12-C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channels best suited to introducing the thirteen-component Aegis</w:t>
      </w:r>
      <w:r>
        <w:t xml:space="preserve"> </w:t>
      </w:r>
      <w:r>
        <w:t xml:space="preserve">Embark line to OEM and supplier engineering/innovation teams.</w:t>
      </w:r>
    </w:p>
    <w:p>
      <w:pPr>
        <w:pStyle w:val="BodyText"/>
      </w:pPr>
      <w:r>
        <w:t xml:space="preserve">PRIMARY CHANNEL — OEM SUPPLIER DAYS / INNOVATION SCOUTING</w:t>
      </w:r>
      <w:r>
        <w:t xml:space="preserve"> </w:t>
      </w:r>
      <w:r>
        <w:t xml:space="preserve">Many OEMs run dedicated open-innovation teams specifically to review exactly</w:t>
      </w:r>
      <w:r>
        <w:t xml:space="preserve"> </w:t>
      </w:r>
      <w:r>
        <w:t xml:space="preserve">this kind of external component catalog — the most direct channel, though</w:t>
      </w:r>
      <w:r>
        <w:t xml:space="preserve"> </w:t>
      </w:r>
      <w:r>
        <w:t xml:space="preserve">access typically requires an existing supplier relationship or a scouting</w:t>
      </w:r>
      <w:r>
        <w:t xml:space="preserve"> </w:t>
      </w:r>
      <w:r>
        <w:t xml:space="preserve">program’s public submission portal.</w:t>
      </w:r>
    </w:p>
    <w:p>
      <w:pPr>
        <w:pStyle w:val="BodyText"/>
      </w:pPr>
      <w:r>
        <w:t xml:space="preserve">TECHNICAL CHANNEL — SAE INTERNATIONAL WCX</w:t>
      </w:r>
      <w:r>
        <w:t xml:space="preserve"> </w:t>
      </w:r>
      <w:r>
        <w:t xml:space="preserve">SAE’s World Congress Experience is the automotive engineering standards</w:t>
      </w:r>
      <w:r>
        <w:t xml:space="preserve"> </w:t>
      </w:r>
      <w:r>
        <w:t xml:space="preserve">body’s flagship annual event — a natural venue for a technical presentation</w:t>
      </w:r>
      <w:r>
        <w:t xml:space="preserve"> </w:t>
      </w:r>
      <w:r>
        <w:t xml:space="preserve">of the biodynamic research base underlying the component line.</w:t>
      </w:r>
    </w:p>
    <w:p>
      <w:pPr>
        <w:pStyle w:val="BodyText"/>
      </w:pPr>
      <w:r>
        <w:t xml:space="preserve">CONSUMER/HMI CHANNEL — CES</w:t>
      </w:r>
      <w:r>
        <w:t xml:space="preserve"> </w:t>
      </w:r>
      <w:r>
        <w:t xml:space="preserve">Increasingly automotive-HMI-focused; relevant for the navigation-redundancy</w:t>
      </w:r>
      <w:r>
        <w:t xml:space="preserve"> </w:t>
      </w:r>
      <w:r>
        <w:t xml:space="preserve">and cabin-EMI components specifically.</w:t>
      </w:r>
    </w:p>
    <w:p>
      <w:pPr>
        <w:pStyle w:val="BodyText"/>
      </w:pPr>
      <w:r>
        <w:t xml:space="preserve">SAFETY-ADJACENT CHANNEL — NHTSA</w:t>
      </w:r>
      <w:r>
        <w:t xml:space="preserve"> </w:t>
      </w:r>
      <w:r>
        <w:t xml:space="preserve">Relevant specifically for HMI/safety-adjacent research (e.g., Camera-Monitor-</w:t>
      </w:r>
      <w:r>
        <w:t xml:space="preserve"> </w:t>
      </w:r>
      <w:r>
        <w:t xml:space="preserve">System design research already cross-referenced in the CSMHuman corpus).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Identify OEM(s) with public open-innovation/scouting submission portals.</w:t>
      </w:r>
      <w:r>
        <w:t xml:space="preserve"> </w:t>
      </w:r>
      <w:r>
        <w:t xml:space="preserve">2. SAE WCX technical session in parallel (peer credibility).</w:t>
      </w:r>
      <w:r>
        <w:t xml:space="preserve"> </w:t>
      </w:r>
      <w:r>
        <w:t xml:space="preserve">3. CES for the HMI/navigation-specific components once initial OEM interest</w:t>
      </w:r>
      <w:r>
        <w:t xml:space="preserve"> </w:t>
      </w:r>
      <w:r>
        <w:t xml:space="preserve">is established.</w:t>
      </w:r>
    </w:p>
    <w:p>
      <w:pPr>
        <w:pStyle w:val="BodyText"/>
      </w:pPr>
      <w:r>
        <w:t xml:space="preserve">Thirteen parts. One agenda slot. That’s genuinely all we’re asking for.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CSMEval12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CSMEval12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CSMEval12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