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CSMEval21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BFRP rebar and dielectric geopolymer</w:t>
      </w:r>
      <w:r>
        <w:t xml:space="preserve"> </w:t>
      </w:r>
      <w:r>
        <w:t xml:space="preserve">concrete from Carrington Storm Motors, positioned against existing ACI 440</w:t>
      </w:r>
      <w:r>
        <w:t xml:space="preserve"> </w:t>
      </w:r>
      <w:r>
        <w:t xml:space="preserve">FRP-reinforcement standards work, plus the broader non-conductive building</w:t>
      </w:r>
      <w:r>
        <w:t xml:space="preserve"> </w:t>
      </w:r>
      <w:r>
        <w:t xml:space="preserve">materials catalog. We’d welcome the chance to present this at ACI Committee</w:t>
      </w:r>
      <w:r>
        <w:t xml:space="preserve"> </w:t>
      </w:r>
      <w:r>
        <w:t xml:space="preserve">440, World of Concrete, or Greenbuild — whichever fits your calendar.</w:t>
      </w:r>
    </w:p>
    <w:p>
      <w:pPr>
        <w:pStyle w:val="BodyText"/>
      </w:pPr>
      <w:r>
        <w:t xml:space="preserve">Appreciate you taking a look at a longer-horizon idea alongside whatever’s</w:t>
      </w:r>
      <w:r>
        <w:t xml:space="preserve"> </w:t>
      </w:r>
      <w:r>
        <w:t xml:space="preserve">due this quarter.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21-compiled-briefing-packet"/>
    <w:p>
      <w:pPr>
        <w:pStyle w:val="Heading1"/>
      </w:pPr>
      <w:r>
        <w:t xml:space="preserve">CSMEval21 — COMPILED BRIEFING PACKET</w:t>
      </w:r>
    </w:p>
    <w:bookmarkStart w:id="10" w:name="Xabfba947018e39e16d030793988e9d67ca7e1f1"/>
    <w:p>
      <w:pPr>
        <w:pStyle w:val="Heading2"/>
      </w:pPr>
      <w:r>
        <w:t xml:space="preserve">Construction, Structural Engineering &amp; Building Materials Industry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(CSMEval21),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Materials Adjacent to What You Already Sell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Every Other Sector on This List Is Actually Waiting on You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Committee Work, Not Just Trade Shows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Structural Resilience Division | "Making Tomorrow Better, Starting Yesterday"</w:t>
      </w:r>
    </w:p>
    <w:p>
      <w:pPr>
        <w:pStyle w:val="FirstParagraph"/>
      </w:pPr>
      <w:r>
        <w:t xml:space="preserve">Every hardening idea in this entire outreach series eventually needs someone</w:t>
      </w:r>
      <w:r>
        <w:t xml:space="preserve"> </w:t>
      </w:r>
      <w:r>
        <w:t xml:space="preserve">to actually specify, procure, and pour it. That’s this sector. The good news:</w:t>
      </w:r>
      <w:r>
        <w:t xml:space="preserve"> </w:t>
      </w:r>
      <w:r>
        <w:t xml:space="preserve">we’re not asking you to invent new chemistry. Basalt rebar and geopolymer</w:t>
      </w:r>
      <w:r>
        <w:t xml:space="preserve"> </w:t>
      </w:r>
      <w:r>
        <w:t xml:space="preserve">binders both already have real, if niche, commercial supply chains.</w:t>
      </w:r>
    </w:p>
    <w:p>
      <w:pPr>
        <w:pStyle w:val="SourceCode"/>
      </w:pPr>
      <w:r>
        <w:rPr>
          <w:rStyle w:val="VerbatimChar"/>
        </w:rPr>
        <w:t xml:space="preserve">             MATERIALS ADJACENT TO WHAT YOU ALREADY SELL</w:t>
      </w:r>
      <w:r>
        <w:br/>
      </w:r>
      <w:r>
        <w:rPr>
          <w:rStyle w:val="VerbatimChar"/>
        </w:rPr>
        <w:t xml:space="preserve">             CSMEval21-A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CSM non-conductive building materials, with emphasis on their</w:t>
      </w:r>
      <w:r>
        <w:t xml:space="preserve"> </w:t>
      </w:r>
      <w:r>
        <w:t xml:space="preserve">proximity to existing commercial supply chains rather than novel chemistry.</w:t>
      </w:r>
    </w:p>
    <w:p>
      <w:pPr>
        <w:pStyle w:val="Compact"/>
        <w:numPr>
          <w:ilvl w:val="0"/>
          <w:numId w:val="1002"/>
        </w:numPr>
      </w:pPr>
      <w:r>
        <w:t xml:space="preserve">BFRP REBAR — Basalt-Fiber-Reinforced-Polymer rebar fabrication plan</w:t>
      </w:r>
      <w:r>
        <w:t xml:space="preserve"> </w:t>
      </w:r>
      <w:r>
        <w:t xml:space="preserve">(CSMFAB09), positioned against ACI 440.11-25 compliance already</w:t>
      </w:r>
      <w:r>
        <w:t xml:space="preserve"> </w:t>
      </w:r>
      <w:r>
        <w:t xml:space="preserve">referenced within the CSM corpus.</w:t>
      </w:r>
    </w:p>
    <w:p>
      <w:pPr>
        <w:pStyle w:val="Compact"/>
        <w:numPr>
          <w:ilvl w:val="0"/>
          <w:numId w:val="1002"/>
        </w:numPr>
      </w:pPr>
      <w:r>
        <w:t xml:space="preserve">AEGIS GEOPOLYMER CONCRETE — ZrB₂ nano-whisker-doped dielectric concrete</w:t>
      </w:r>
      <w:r>
        <w:t xml:space="preserve"> </w:t>
      </w:r>
      <w:r>
        <w:t xml:space="preserve">formulation, addressing pumpability alongside dielectric performance</w:t>
      </w:r>
      <w:r>
        <w:t xml:space="preserve"> </w:t>
      </w:r>
      <w:r>
        <w:t xml:space="preserve">(CSMFAB0107).</w:t>
      </w:r>
    </w:p>
    <w:p>
      <w:pPr>
        <w:pStyle w:val="Compact"/>
        <w:numPr>
          <w:ilvl w:val="0"/>
          <w:numId w:val="1002"/>
        </w:numPr>
      </w:pPr>
      <w:r>
        <w:t xml:space="preserve">NON-METALLIC STRUCTURAL MONOPOLE/TOWER PRECEDENT — composite power-line</w:t>
      </w:r>
      <w:r>
        <w:t xml:space="preserve"> </w:t>
      </w:r>
      <w:r>
        <w:t xml:space="preserve">monopole (CSMFAB0105), a real-load structural proof point.</w:t>
      </w:r>
    </w:p>
    <w:p>
      <w:pPr>
        <w:pStyle w:val="Compact"/>
        <w:numPr>
          <w:ilvl w:val="0"/>
          <w:numId w:val="1002"/>
        </w:numPr>
      </w:pPr>
      <w:r>
        <w:t xml:space="preserve">FULL NON-CONDUCTIVE BUILDING SYSTEMS CATALOG — piping, wiring, hardware,</w:t>
      </w:r>
      <w:r>
        <w:t xml:space="preserve"> </w:t>
      </w:r>
      <w:r>
        <w:t xml:space="preserve">and ventilation suite (CSMFAB010-020), plus aerogel thermal-break</w:t>
      </w:r>
      <w:r>
        <w:t xml:space="preserve"> </w:t>
      </w:r>
      <w:r>
        <w:t xml:space="preserve">insulation (CSMFAB03).</w:t>
      </w:r>
    </w:p>
    <w:p>
      <w:pPr>
        <w:pStyle w:val="FirstParagraph"/>
      </w:pPr>
      <w:r>
        <w:t xml:space="preserve">WHY</w:t>
      </w:r>
      <w:r>
        <w:t xml:space="preserve"> </w:t>
      </w:r>
      <w:r>
        <w:t xml:space="preserve">“ADJACENT TO EXISTING SUPPLY CHAINS”</w:t>
      </w:r>
      <w:r>
        <w:t xml:space="preserve"> </w:t>
      </w:r>
      <w:r>
        <w:t xml:space="preserve">IS THE WHOLE PITCH</w:t>
      </w:r>
      <w:r>
        <w:t xml:space="preserve"> </w:t>
      </w:r>
      <w:r>
        <w:t xml:space="preserve">Materials that require inventing an entire new manufacturing base take a</w:t>
      </w:r>
      <w:r>
        <w:t xml:space="preserve"> </w:t>
      </w:r>
      <w:r>
        <w:t xml:space="preserve">decade to reach a real project. Materials adjacent to an existing supply</w:t>
      </w:r>
      <w:r>
        <w:t xml:space="preserve"> </w:t>
      </w:r>
      <w:r>
        <w:t xml:space="preserve">chain can reach a real project in a much shorter window — which is exactly</w:t>
      </w:r>
      <w:r>
        <w:t xml:space="preserve"> </w:t>
      </w:r>
      <w:r>
        <w:t xml:space="preserve">the argument this sector, more than any other on this list, can actually</w:t>
      </w:r>
      <w:r>
        <w:t xml:space="preserve"> </w:t>
      </w:r>
      <w:r>
        <w:t xml:space="preserve">evaluate and act on.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this sector has the shortest realistic</w:t>
      </w:r>
      <w:r>
        <w:t xml:space="preserve"> </w:t>
      </w:r>
      <w:r>
        <w:t xml:space="preserve">path from research to real-project spec of any sector in this series.</w:t>
      </w:r>
    </w:p>
    <w:p>
      <w:pPr>
        <w:pStyle w:val="BodyText"/>
      </w:pPr>
      <w:r>
        <w:t xml:space="preserve">Not new chemistry. Adjacent chemistry, with a shorter road to your next spec sheet.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"The Books Reflect the Mission"</w:t>
      </w:r>
    </w:p>
    <w:p>
      <w:pPr>
        <w:pStyle w:val="FirstParagraph"/>
      </w:pPr>
      <w:r>
        <w:t xml:space="preserve">Read back through this outreach series’ other 34 dossiers and a pattern</w:t>
      </w:r>
      <w:r>
        <w:t xml:space="preserve"> </w:t>
      </w:r>
      <w:r>
        <w:t xml:space="preserve">shows up: bridges, nuclear switchyards, amusement parks, data centers, water</w:t>
      </w:r>
      <w:r>
        <w:t xml:space="preserve"> </w:t>
      </w:r>
      <w:r>
        <w:t xml:space="preserve">utilities — nearly every hardening idea eventually resolves into</w:t>
      </w:r>
      <w:r>
        <w:t xml:space="preserve"> </w:t>
      </w:r>
      <w:r>
        <w:t xml:space="preserve">“someone</w:t>
      </w:r>
      <w:r>
        <w:t xml:space="preserve"> </w:t>
      </w:r>
      <w:r>
        <w:t xml:space="preserve">needs to build this with non-conductive materials.”</w:t>
      </w:r>
      <w:r>
        <w:t xml:space="preserve"> </w:t>
      </w:r>
      <w:r>
        <w:t xml:space="preserve">That someone is this</w:t>
      </w:r>
      <w:r>
        <w:t xml:space="preserve"> </w:t>
      </w:r>
      <w:r>
        <w:t xml:space="preserve">sector.</w:t>
      </w:r>
    </w:p>
    <w:p>
      <w:pPr>
        <w:pStyle w:val="SourceCode"/>
      </w:pPr>
      <w:r>
        <w:rPr>
          <w:rStyle w:val="VerbatimChar"/>
        </w:rPr>
        <w:t xml:space="preserve">             EVERY OTHER SECTOR ON THIS LIST IS ACTUALLY WAITING ON YOU</w:t>
      </w:r>
      <w:r>
        <w:br/>
      </w:r>
      <w:r>
        <w:rPr>
          <w:rStyle w:val="VerbatimChar"/>
        </w:rPr>
        <w:t xml:space="preserve">             CSMEval21-B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this sector has the shortest realistic path from research to</w:t>
      </w:r>
      <w:r>
        <w:t xml:space="preserve"> </w:t>
      </w:r>
      <w:r>
        <w:t xml:space="preserve">real-project specification of any sector in the outreach series, and why</w:t>
      </w:r>
      <w:r>
        <w:t xml:space="preserve"> </w:t>
      </w:r>
      <w:r>
        <w:t xml:space="preserve">that makes it disproportionately high-leverage.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BFRP rebar and geopolymer concrete binders both have existing, if niche,</w:t>
      </w:r>
      <w:r>
        <w:t xml:space="preserve"> </w:t>
      </w:r>
      <w:r>
        <w:t xml:space="preserve">commercial supply chains — not blue-sky chemistry requiring new</w:t>
      </w:r>
      <w:r>
        <w:t xml:space="preserve"> </w:t>
      </w:r>
      <w:r>
        <w:t xml:space="preserve">manufacturing infrastructure.</w:t>
      </w:r>
      <w:r>
        <w:t xml:space="preserve"> </w:t>
      </w:r>
      <w:r>
        <w:t xml:space="preserve">• The CSM corpus already references ACI 440.11-25 compliance internally for</w:t>
      </w:r>
      <w:r>
        <w:t xml:space="preserve"> </w:t>
      </w:r>
      <w:r>
        <w:t xml:space="preserve">BFRP rebar, meaning the standards-alignment work has already started, not</w:t>
      </w:r>
      <w:r>
        <w:t xml:space="preserve"> </w:t>
      </w:r>
      <w:r>
        <w:t xml:space="preserve">just the materials research.</w:t>
      </w:r>
      <w:r>
        <w:t xml:space="preserve"> </w:t>
      </w:r>
      <w:r>
        <w:t xml:space="preserve">• Structural engineering consultancies (the corpus already names T.Y. Lin</w:t>
      </w:r>
      <w:r>
        <w:t xml:space="preserve"> </w:t>
      </w:r>
      <w:r>
        <w:t xml:space="preserve">International as a resilience-audit recipient, see CSMEval05) are a</w:t>
      </w:r>
      <w:r>
        <w:t xml:space="preserve"> </w:t>
      </w:r>
      <w:r>
        <w:t xml:space="preserve">natural force-multiplier channel — one firm relationship surfaces</w:t>
      </w:r>
      <w:r>
        <w:t xml:space="preserve"> </w:t>
      </w:r>
      <w:r>
        <w:t xml:space="preserve">materials options to multiple clients at once.</w:t>
      </w:r>
      <w:r>
        <w:t xml:space="preserve"> </w:t>
      </w:r>
      <w:r>
        <w:t xml:space="preserve">• Concrete and rebar manufacturers face a genuine strategic choice here:</w:t>
      </w:r>
      <w:r>
        <w:t xml:space="preserve"> </w:t>
      </w:r>
      <w:r>
        <w:t xml:space="preserve">treat BFRP as a threat to conventional steel rebar, or as a</w:t>
      </w:r>
      <w:r>
        <w:t xml:space="preserve"> </w:t>
      </w:r>
      <w:r>
        <w:t xml:space="preserve">diversification opportunity into a new product category.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Every hardening idea across the other 34 dossiers in this series is</w:t>
      </w:r>
      <w:r>
        <w:t xml:space="preserve"> </w:t>
      </w:r>
      <w:r>
        <w:t xml:space="preserve">ultimately gated by this sector’s willingness to specify and build with</w:t>
      </w:r>
      <w:r>
        <w:t xml:space="preserve"> </w:t>
      </w:r>
      <w:r>
        <w:t xml:space="preserve">non-conductive materials — a bottleneck this sector may not realize it</w:t>
      </w:r>
      <w:r>
        <w:t xml:space="preserve"> </w:t>
      </w:r>
      <w:r>
        <w:t xml:space="preserve">represents.</w:t>
      </w:r>
      <w:r>
        <w:t xml:space="preserve"> </w:t>
      </w:r>
      <w:r>
        <w:t xml:space="preserve">• Incumbent-material manufacturers who treat BFRP purely as competitive</w:t>
      </w:r>
      <w:r>
        <w:t xml:space="preserve"> </w:t>
      </w:r>
      <w:r>
        <w:t xml:space="preserve">threat risk ceding the diversification opportunity to a newer entrant.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ACI, ICC, and the World of Concrete/Greenbuild trade</w:t>
      </w:r>
      <w:r>
        <w:t xml:space="preserve"> </w:t>
      </w:r>
      <w:r>
        <w:t xml:space="preserve">shows as the channels most likely to move this from research to spec sheet.</w:t>
      </w:r>
    </w:p>
    <w:p>
      <w:pPr>
        <w:pStyle w:val="BodyText"/>
      </w:pPr>
      <w:r>
        <w:t xml:space="preserve">Every other dossier in this series ends at your desk eventually. Might as well start the conversation now.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"Excellence in Service, Consistently Delivered"</w:t>
      </w:r>
    </w:p>
    <w:p>
      <w:pPr>
        <w:pStyle w:val="FirstParagraph"/>
      </w:pPr>
      <w:r>
        <w:t xml:space="preserve">This sector’s real gatekeepers are standards committees more than any</w:t>
      </w:r>
      <w:r>
        <w:t xml:space="preserve"> </w:t>
      </w:r>
      <w:r>
        <w:t xml:space="preserve">single conference — so the channel list below leads with committees on</w:t>
      </w:r>
      <w:r>
        <w:t xml:space="preserve"> </w:t>
      </w:r>
      <w:r>
        <w:t xml:space="preserve">purpose.</w:t>
      </w:r>
    </w:p>
    <w:p>
      <w:pPr>
        <w:pStyle w:val="SourceCode"/>
      </w:pPr>
      <w:r>
        <w:rPr>
          <w:rStyle w:val="VerbatimChar"/>
        </w:rPr>
        <w:t xml:space="preserve">             COMMITTEE WORK, NOT JUST TRADE SHOWS</w:t>
      </w:r>
      <w:r>
        <w:br/>
      </w:r>
      <w:r>
        <w:rPr>
          <w:rStyle w:val="VerbatimChar"/>
        </w:rPr>
        <w:t xml:space="preserve">             CSMEval21-C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standards committees and trade shows best positioned to move</w:t>
      </w:r>
      <w:r>
        <w:t xml:space="preserve"> </w:t>
      </w:r>
      <w:r>
        <w:t xml:space="preserve">BFRP rebar and geopolymer concrete from research to real-project</w:t>
      </w:r>
      <w:r>
        <w:t xml:space="preserve"> </w:t>
      </w:r>
      <w:r>
        <w:t xml:space="preserve">specification.</w:t>
      </w:r>
    </w:p>
    <w:p>
      <w:pPr>
        <w:pStyle w:val="BodyText"/>
      </w:pPr>
      <w:r>
        <w:t xml:space="preserve">PRIMARY CHANNEL — ACI COMMITTEE 440 (FRP REINFORCEMENT)</w:t>
      </w:r>
      <w:r>
        <w:t xml:space="preserve"> </w:t>
      </w:r>
      <w:r>
        <w:t xml:space="preserve">Directly relevant to BFRP rebar adoption pathways; the CSM corpus already</w:t>
      </w:r>
      <w:r>
        <w:t xml:space="preserve"> </w:t>
      </w:r>
      <w:r>
        <w:t xml:space="preserve">references ACI 440.11-25 compliance internally, making this the most</w:t>
      </w:r>
      <w:r>
        <w:t xml:space="preserve"> </w:t>
      </w:r>
      <w:r>
        <w:t xml:space="preserve">natural first committee engagement.</w:t>
      </w:r>
    </w:p>
    <w:p>
      <w:pPr>
        <w:pStyle w:val="BodyText"/>
      </w:pPr>
      <w:r>
        <w:t xml:space="preserve">SECONDARY CHANNELS</w:t>
      </w:r>
      <w:r>
        <w:t xml:space="preserve"> </w:t>
      </w:r>
      <w:r>
        <w:t xml:space="preserve">• International Code Council (ICC) — building-code adoption pathway,</w:t>
      </w:r>
      <w:r>
        <w:t xml:space="preserve"> </w:t>
      </w:r>
      <w:r>
        <w:t xml:space="preserve">necessary for any material to move from</w:t>
      </w:r>
      <w:r>
        <w:t xml:space="preserve"> </w:t>
      </w:r>
      <w:r>
        <w:t xml:space="preserve">“permitted in some jurisdictions”</w:t>
      </w:r>
      <w:r>
        <w:t xml:space="preserve"> </w:t>
      </w:r>
      <w:r>
        <w:t xml:space="preserve">to broadly specifiable.</w:t>
      </w:r>
      <w:r>
        <w:t xml:space="preserve"> </w:t>
      </w:r>
      <w:r>
        <w:t xml:space="preserve">• American Institute of Steel Construction (AISC) — the incumbent-material</w:t>
      </w:r>
      <w:r>
        <w:t xml:space="preserve"> </w:t>
      </w:r>
      <w:r>
        <w:t xml:space="preserve">counterpoint/dialogue partner; worth engaging directly rather than</w:t>
      </w:r>
      <w:r>
        <w:t xml:space="preserve"> </w:t>
      </w:r>
      <w:r>
        <w:t xml:space="preserve">avoiding, since steel/BFRP coexistence (not replacement) is the more</w:t>
      </w:r>
      <w:r>
        <w:t xml:space="preserve"> </w:t>
      </w:r>
      <w:r>
        <w:t xml:space="preserve">realistic near-term outcome.</w:t>
      </w:r>
    </w:p>
    <w:p>
      <w:pPr>
        <w:pStyle w:val="BodyText"/>
      </w:pPr>
      <w:r>
        <w:t xml:space="preserve">TRADE SHOW CHANNELS</w:t>
      </w:r>
      <w:r>
        <w:t xml:space="preserve"> </w:t>
      </w:r>
      <w:r>
        <w:t xml:space="preserve">• World of Concrete — concrete-industry-specific audience.</w:t>
      </w:r>
      <w:r>
        <w:t xml:space="preserve"> </w:t>
      </w:r>
      <w:r>
        <w:t xml:space="preserve">• Greenbuild — sustainability-framed audience, relevant given geopolymer</w:t>
      </w:r>
      <w:r>
        <w:t xml:space="preserve"> </w:t>
      </w:r>
      <w:r>
        <w:t xml:space="preserve">concrete’s lower-carbon profile as a secondary selling point.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ACI Committee 440 engagement (fastest path to a technical, standards-</w:t>
      </w:r>
      <w:r>
        <w:t xml:space="preserve"> </w:t>
      </w:r>
      <w:r>
        <w:t xml:space="preserve">literate audience).</w:t>
      </w:r>
      <w:r>
        <w:t xml:space="preserve"> </w:t>
      </w:r>
      <w:r>
        <w:t xml:space="preserve">2. World of Concrete / Greenbuild trade show presence (broader</w:t>
      </w:r>
      <w:r>
        <w:t xml:space="preserve"> </w:t>
      </w:r>
      <w:r>
        <w:t xml:space="preserve">contractor/specifier reach).</w:t>
      </w:r>
      <w:r>
        <w:t xml:space="preserve"> </w:t>
      </w:r>
      <w:r>
        <w:t xml:space="preserve">3. ICC code-adoption engagement as a longer, parallel track.</w:t>
      </w:r>
    </w:p>
    <w:p>
      <w:pPr>
        <w:pStyle w:val="BodyText"/>
      </w:pPr>
      <w:r>
        <w:t xml:space="preserve">Multi-year adoption timeline, started today instead of next year — that’s the entire ask.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CSMEval21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CSMEval21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CSMEval21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