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CSMEval25 Combined Email Body</w:t>
      </w:r>
    </w:p>
    <w:p>
      <w:pPr>
        <w:pStyle w:val="Date"/>
      </w:pPr>
      <w:r>
        <w:t xml:space="preserve">2026-06-01</w:t>
      </w:r>
    </w:p>
    <w:p>
      <w:pPr>
        <w:pStyle w:val="FirstParagraph"/>
      </w:pPr>
      <w:r>
        <w:t xml:space="preserve">Attached is a briefing packet on Carrington Storm Motors’ magnet-technology</w:t>
      </w:r>
      <w:r>
        <w:t xml:space="preserve"> </w:t>
      </w:r>
      <w:r>
        <w:t xml:space="preserve">survey, domestic supply-chain landscape mapping, and Aegis-Forge critical-</w:t>
      </w:r>
      <w:r>
        <w:t xml:space="preserve"> </w:t>
      </w:r>
      <w:r>
        <w:t xml:space="preserve">materials recycling process, offered as a complementary research</w:t>
      </w:r>
      <w:r>
        <w:t xml:space="preserve"> </w:t>
      </w:r>
      <w:r>
        <w:t xml:space="preserve">contribution given the active facility scaling happening across this</w:t>
      </w:r>
      <w:r>
        <w:t xml:space="preserve"> </w:t>
      </w:r>
      <w:r>
        <w:t xml:space="preserve">industry right now. We’d welcome a conversation through DOE’s Critical</w:t>
      </w:r>
      <w:r>
        <w:t xml:space="preserve"> </w:t>
      </w:r>
      <w:r>
        <w:t xml:space="preserve">Materials Institute or at MINExpo International.</w:t>
      </w:r>
    </w:p>
    <w:p>
      <w:pPr>
        <w:pStyle w:val="BodyText"/>
      </w:pPr>
      <w:r>
        <w:t xml:space="preserve">Genuinely glad to see domestic capacity actually being built — hope this is</w:t>
      </w:r>
      <w:r>
        <w:t xml:space="preserve"> </w:t>
      </w:r>
      <w:r>
        <w:t xml:space="preserve">useful alongside it.</w:t>
      </w:r>
    </w:p>
    <w:p>
      <w:pPr>
        <w:pStyle w:val="BodyText"/>
      </w:pPr>
      <w:r>
        <w:t xml:space="preserve">| Carrington Storm Motors | Safe Pod Engineering Company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11" w:name="csmeval25-compiled-briefing-packet"/>
    <w:p>
      <w:pPr>
        <w:pStyle w:val="Heading1"/>
      </w:pPr>
      <w:r>
        <w:t xml:space="preserve">CSMEval25 — COMPILED BRIEFING PACKET</w:t>
      </w:r>
    </w:p>
    <w:bookmarkStart w:id="10" w:name="Xea265a58dafbdd14d4d113259dd85e9cb8643a5"/>
    <w:p>
      <w:pPr>
        <w:pStyle w:val="Heading2"/>
      </w:pPr>
      <w:r>
        <w:t xml:space="preserve">Rare-Earth, Critical Minerals, Mining &amp; Permanent Magnet Industry</w:t>
      </w:r>
    </w:p>
    <w:bookmarkStart w:id="9" w:name="X0076f856ee82b1aa192572b909281b775439e93"/>
    <w:p>
      <w:pPr>
        <w:pStyle w:val="Heading3"/>
      </w:pPr>
      <w:r>
        <w:t xml:space="preserve">Carrington Storm Motors | Safe Pod Engineering Company — June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packet compiles all three tailored briefing documents prepared for this</w:t>
      </w:r>
      <w:r>
        <w:t xml:space="preserve"> </w:t>
      </w:r>
      <w:r>
        <w:t xml:space="preserve">sector (CSMEval25), in reading order: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A</w:t>
      </w:r>
      <w:r>
        <w:t xml:space="preserve"> </w:t>
      </w:r>
      <w:r>
        <w:t xml:space="preserve">— Riding a Wave That’s Already Real Money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B</w:t>
      </w:r>
      <w:r>
        <w:t xml:space="preserve"> </w:t>
      </w:r>
      <w:r>
        <w:t xml:space="preserve">— Ninety Percent Is Not a Number You Sit With Comfortably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C</w:t>
      </w:r>
      <w:r>
        <w:t xml:space="preserve"> </w:t>
      </w:r>
      <w:r>
        <w:t xml:space="preserve">— Policy, Industry, and Trade Show, All Three in Parallel</w:t>
      </w:r>
    </w:p>
    <w:p>
      <w:pPr>
        <w:pStyle w:val="FirstParagraph"/>
      </w:pPr>
      <w:r>
        <w:t xml:space="preserve">All three were produced under the Williams Heuristic Communication Standard</w:t>
      </w:r>
      <w:r>
        <w:t xml:space="preserve"> </w:t>
      </w:r>
      <w:r>
        <w:t xml:space="preserve">(CSMSOPP000001, MODULE-V2) for consistent voice and cadence across the series.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Materials Science Division | "The Books Reflect the Mission"</w:t>
      </w:r>
    </w:p>
    <w:p>
      <w:pPr>
        <w:pStyle w:val="FirstParagraph"/>
      </w:pPr>
      <w:r>
        <w:t xml:space="preserve">We don’t have to convince you domestic magnet supply-chain independence</w:t>
      </w:r>
      <w:r>
        <w:t xml:space="preserve"> </w:t>
      </w:r>
      <w:r>
        <w:t xml:space="preserve">matters — Niron Magnetics and MP Materials are already spending real,</w:t>
      </w:r>
      <w:r>
        <w:t xml:space="preserve"> </w:t>
      </w:r>
      <w:r>
        <w:t xml:space="preserve">public, nine-figure amounts proving it matters. This briefing is about</w:t>
      </w:r>
      <w:r>
        <w:t xml:space="preserve"> </w:t>
      </w:r>
      <w:r>
        <w:t xml:space="preserve">adding a research contribution to a wave that’s already moving, not</w:t>
      </w:r>
      <w:r>
        <w:t xml:space="preserve"> </w:t>
      </w:r>
      <w:r>
        <w:t xml:space="preserve">starting a new one.</w:t>
      </w:r>
    </w:p>
    <w:p>
      <w:pPr>
        <w:pStyle w:val="SourceCode"/>
      </w:pPr>
      <w:r>
        <w:rPr>
          <w:rStyle w:val="VerbatimChar"/>
        </w:rPr>
        <w:t xml:space="preserve">             RIDING A WAVE THAT'S ALREADY REAL MONEY</w:t>
      </w:r>
      <w:r>
        <w:br/>
      </w:r>
      <w:r>
        <w:rPr>
          <w:rStyle w:val="VerbatimChar"/>
        </w:rPr>
        <w:t xml:space="preserve">             CSMEval25-A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Summarize CSM magnet and critical-materials research as a complementary</w:t>
      </w:r>
      <w:r>
        <w:t xml:space="preserve"> </w:t>
      </w:r>
      <w:r>
        <w:t xml:space="preserve">contribution to an already-active domestic supply-chain scaling effort.</w:t>
      </w:r>
    </w:p>
    <w:p>
      <w:pPr>
        <w:pStyle w:val="Compact"/>
        <w:numPr>
          <w:ilvl w:val="0"/>
          <w:numId w:val="1002"/>
        </w:numPr>
      </w:pPr>
      <w:r>
        <w:t xml:space="preserve">NEW US MAGNET COMPANIES IDENTIFIED — domestic magnet supply-chain</w:t>
      </w:r>
      <w:r>
        <w:t xml:space="preserve"> </w:t>
      </w:r>
      <w:r>
        <w:t xml:space="preserve">landscape mapping (CSMMagEco2026).</w:t>
      </w:r>
    </w:p>
    <w:p>
      <w:pPr>
        <w:pStyle w:val="Compact"/>
        <w:numPr>
          <w:ilvl w:val="0"/>
          <w:numId w:val="1002"/>
        </w:numPr>
      </w:pPr>
      <w:r>
        <w:t xml:space="preserve">RARE-EARTH-FREE MAGNET TECHNOLOGY SURVEY — technology-landscape research</w:t>
      </w:r>
      <w:r>
        <w:t xml:space="preserve"> </w:t>
      </w:r>
      <w:r>
        <w:t xml:space="preserve">(CSMMagTech 2026).</w:t>
      </w:r>
    </w:p>
    <w:p>
      <w:pPr>
        <w:pStyle w:val="Compact"/>
        <w:numPr>
          <w:ilvl w:val="0"/>
          <w:numId w:val="1002"/>
        </w:numPr>
      </w:pPr>
      <w:r>
        <w:t xml:space="preserve">AEGIS-FORGE THERMAL CASCADE INDUCTIVE MATERIAL SEPARATOR — critical-</w:t>
      </w:r>
      <w:r>
        <w:t xml:space="preserve"> </w:t>
      </w:r>
      <w:r>
        <w:t xml:space="preserve">materials recycling/reclamation process (CSMFAB0108).</w:t>
      </w:r>
    </w:p>
    <w:p>
      <w:pPr>
        <w:pStyle w:val="Compact"/>
        <w:numPr>
          <w:ilvl w:val="0"/>
          <w:numId w:val="1002"/>
        </w:numPr>
      </w:pPr>
      <w:r>
        <w:t xml:space="preserve">MATERIALS-SCIENCE SUPPLY-CHAIN RISK ASSESSMENT — critical minerals and</w:t>
      </w:r>
      <w:r>
        <w:t xml:space="preserve"> </w:t>
      </w:r>
      <w:r>
        <w:t xml:space="preserve">rare-earth supply chain section of the 6-part Materials Study.</w:t>
      </w:r>
    </w:p>
    <w:p>
      <w:pPr>
        <w:pStyle w:val="FirstParagraph"/>
      </w:pPr>
      <w:r>
        <w:t xml:space="preserve">WHAT’S ACTUALLY HAPPENING RIGHT NOW IN THIS INDUSTRY</w:t>
      </w:r>
      <w:r>
        <w:t xml:space="preserve"> </w:t>
      </w:r>
      <w:r>
        <w:t xml:space="preserve">Niron Magnetics broke ground on its Sartell, Minnesota facility in September</w:t>
      </w:r>
      <w:r>
        <w:t xml:space="preserve"> </w:t>
      </w:r>
      <w:r>
        <w:t xml:space="preserve">2025 (targeting 1,500 tons/year of iron-nitride magnets by 2026, backed by a</w:t>
      </w:r>
      <w:r>
        <w:t xml:space="preserve"> </w:t>
      </w:r>
      <w:r>
        <w:t xml:space="preserve">$52.2 million DOE/Treasury Section 48C tax credit). MP Materials announced a</w:t>
      </w:r>
      <w:r>
        <w:t xml:space="preserve"> </w:t>
      </w:r>
      <w:r>
        <w:t xml:space="preserve">$1.25 billion rare-earth magnet manufacturing campus in Northlake, Texas in</w:t>
      </w:r>
      <w:r>
        <w:t xml:space="preserve"> </w:t>
      </w:r>
      <w:r>
        <w:t xml:space="preserve">February 2026. China still produces roughly 90% of global rare-earth</w:t>
      </w:r>
      <w:r>
        <w:t xml:space="preserve"> </w:t>
      </w:r>
      <w:r>
        <w:t xml:space="preserve">permanent magnets.</w:t>
      </w:r>
    </w:p>
    <w:p>
      <w:pPr>
        <w:pStyle w:val="BodyText"/>
      </w:pPr>
      <w:r>
        <w:t xml:space="preserve">WHY WE’RE OFFERING RESEARCH, NOT A PRODUCT</w:t>
      </w:r>
      <w:r>
        <w:t xml:space="preserve"> </w:t>
      </w:r>
      <w:r>
        <w:t xml:space="preserve">This corpus doesn’t compete with either announced facility — it’s a</w:t>
      </w:r>
      <w:r>
        <w:t xml:space="preserve"> </w:t>
      </w:r>
      <w:r>
        <w:t xml:space="preserve">complementary research contribution (landscape mapping, recycling process,</w:t>
      </w:r>
      <w:r>
        <w:t xml:space="preserve"> </w:t>
      </w:r>
      <w:r>
        <w:t xml:space="preserve">supply-chain risk data) offered alongside an already-fast-moving industry</w:t>
      </w:r>
      <w:r>
        <w:t xml:space="preserve"> </w:t>
      </w:r>
      <w:r>
        <w:t xml:space="preserve">trend.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B lays out why the current national-security and industrial-policy</w:t>
      </w:r>
      <w:r>
        <w:t xml:space="preserve"> </w:t>
      </w:r>
      <w:r>
        <w:t xml:space="preserve">framing makes this an unusually well-funded moment for this specific</w:t>
      </w:r>
      <w:r>
        <w:t xml:space="preserve"> </w:t>
      </w:r>
      <w:r>
        <w:t xml:space="preserve">research contribution.</w:t>
      </w:r>
    </w:p>
    <w:p>
      <w:pPr>
        <w:pStyle w:val="BodyText"/>
      </w:pPr>
      <w:r>
        <w:t xml:space="preserve">Not trying to out-build MP Materials. Just trying to be useful to everyone building alongside them.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Risk &amp; Continuity Research Office | "Numbers In Service of People"</w:t>
      </w:r>
    </w:p>
    <w:p>
      <w:pPr>
        <w:pStyle w:val="FirstParagraph"/>
      </w:pPr>
      <w:r>
        <w:t xml:space="preserve">China still produces roughly 90% of global rare-earth permanent magnets.</w:t>
      </w:r>
      <w:r>
        <w:t xml:space="preserve"> </w:t>
      </w:r>
      <w:r>
        <w:t xml:space="preserve">Read that number again slowly. Every robot, EV motor, wind turbine, and</w:t>
      </w:r>
      <w:r>
        <w:t xml:space="preserve"> </w:t>
      </w:r>
      <w:r>
        <w:t xml:space="preserve">data-center cooling fan referenced elsewhere in this outreach series has a</w:t>
      </w:r>
      <w:r>
        <w:t xml:space="preserve"> </w:t>
      </w:r>
      <w:r>
        <w:t xml:space="preserve">supply-chain thread that runs through that one number.</w:t>
      </w:r>
    </w:p>
    <w:p>
      <w:pPr>
        <w:pStyle w:val="SourceCode"/>
      </w:pPr>
      <w:r>
        <w:rPr>
          <w:rStyle w:val="VerbatimChar"/>
        </w:rPr>
        <w:t xml:space="preserve">             NINETY PERCENT IS NOT A NUMBER YOU SIT WITH COMFORTABLY</w:t>
      </w:r>
      <w:r>
        <w:br/>
      </w:r>
      <w:r>
        <w:rPr>
          <w:rStyle w:val="VerbatimChar"/>
        </w:rPr>
        <w:t xml:space="preserve">             CSMEval25-B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Establish why this sector’s national-security and industrial-policy framing</w:t>
      </w:r>
      <w:r>
        <w:t xml:space="preserve"> </w:t>
      </w:r>
      <w:r>
        <w:t xml:space="preserve">creates an unusually well-funded and well-timed moment for CSM’s magnet and</w:t>
      </w:r>
      <w:r>
        <w:t xml:space="preserve"> </w:t>
      </w:r>
      <w:r>
        <w:t xml:space="preserve">critical-materials research contribution.</w:t>
      </w:r>
    </w:p>
    <w:p>
      <w:pPr>
        <w:pStyle w:val="BodyText"/>
      </w:pPr>
      <w:r>
        <w:t xml:space="preserve">KEY FACTS</w:t>
      </w:r>
      <w:r>
        <w:t xml:space="preserve"> </w:t>
      </w:r>
      <w:r>
        <w:t xml:space="preserve">• China still produces roughly 90% of global rare-earth permanent magnets —</w:t>
      </w:r>
      <w:r>
        <w:t xml:space="preserve"> </w:t>
      </w:r>
      <w:r>
        <w:t xml:space="preserve">a concentration level that makes domestic supply-chain independence a live</w:t>
      </w:r>
      <w:r>
        <w:t xml:space="preserve"> </w:t>
      </w:r>
      <w:r>
        <w:t xml:space="preserve">national-security and industrial-policy issue, not just a business</w:t>
      </w:r>
      <w:r>
        <w:t xml:space="preserve"> </w:t>
      </w:r>
      <w:r>
        <w:t xml:space="preserve">strategy question.</w:t>
      </w:r>
      <w:r>
        <w:t xml:space="preserve"> </w:t>
      </w:r>
      <w:r>
        <w:t xml:space="preserve">• Niron Magnetics’ Sartell, MN facility (groundbreaking September 2025) is</w:t>
      </w:r>
      <w:r>
        <w:t xml:space="preserve"> </w:t>
      </w:r>
      <w:r>
        <w:t xml:space="preserve">backed by a $52.2 million DOE/Treasury Section 48C tax credit — direct</w:t>
      </w:r>
      <w:r>
        <w:t xml:space="preserve"> </w:t>
      </w:r>
      <w:r>
        <w:t xml:space="preserve">evidence of active federal policy support for exactly this kind of</w:t>
      </w:r>
      <w:r>
        <w:t xml:space="preserve"> </w:t>
      </w:r>
      <w:r>
        <w:t xml:space="preserve">domestic capacity.</w:t>
      </w:r>
      <w:r>
        <w:t xml:space="preserve"> </w:t>
      </w:r>
      <w:r>
        <w:t xml:space="preserve">• MP Materials’ $1.25 billion Northlake, TX campus (announced February</w:t>
      </w:r>
      <w:r>
        <w:t xml:space="preserve"> </w:t>
      </w:r>
      <w:r>
        <w:t xml:space="preserve">2026) demonstrates private capital is moving at scale alongside the</w:t>
      </w:r>
      <w:r>
        <w:t xml:space="preserve"> </w:t>
      </w:r>
      <w:r>
        <w:t xml:space="preserve">federal policy support.</w:t>
      </w:r>
      <w:r>
        <w:t xml:space="preserve"> </w:t>
      </w:r>
      <w:r>
        <w:t xml:space="preserve">• Magnet end-users across robotics (CSMEval22), automotive/EV (CSMEval12),</w:t>
      </w:r>
      <w:r>
        <w:t xml:space="preserve"> </w:t>
      </w:r>
      <w:r>
        <w:t xml:space="preserve">and data centers (CSMEval16) all have a direct stake in this supply</w:t>
      </w:r>
      <w:r>
        <w:t xml:space="preserve"> </w:t>
      </w:r>
      <w:r>
        <w:t xml:space="preserve">chain’s resilience — this sector’s success has ripple effects across at</w:t>
      </w:r>
      <w:r>
        <w:t xml:space="preserve"> </w:t>
      </w:r>
      <w:r>
        <w:t xml:space="preserve">least three other dossiers in this series.</w:t>
      </w:r>
    </w:p>
    <w:p>
      <w:pPr>
        <w:pStyle w:val="BodyText"/>
      </w:pPr>
      <w:r>
        <w:t xml:space="preserve">WHY THIS MATTERS BEYOND THE MAGNET INDUSTRY ITSELF</w:t>
      </w:r>
      <w:r>
        <w:t xml:space="preserve"> </w:t>
      </w:r>
      <w:r>
        <w:t xml:space="preserve">A recycling/reclamation process (Aegis-Forge) and a supply-chain landscape</w:t>
      </w:r>
      <w:r>
        <w:t xml:space="preserve"> </w:t>
      </w:r>
      <w:r>
        <w:t xml:space="preserve">map aren’t just useful to magnet producers — they’re useful to every</w:t>
      </w:r>
      <w:r>
        <w:t xml:space="preserve"> </w:t>
      </w:r>
      <w:r>
        <w:t xml:space="preserve">downstream sector depending on magnet availability, several of which are</w:t>
      </w:r>
      <w:r>
        <w:t xml:space="preserve"> </w:t>
      </w:r>
      <w:r>
        <w:t xml:space="preserve">also targets in this outreach series.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C identifies DOE Critical Materials Institute, National Mining</w:t>
      </w:r>
      <w:r>
        <w:t xml:space="preserve"> </w:t>
      </w:r>
      <w:r>
        <w:t xml:space="preserve">Association, and MINExpo as the channels best matched to this moment’s</w:t>
      </w:r>
      <w:r>
        <w:t xml:space="preserve"> </w:t>
      </w:r>
      <w:r>
        <w:t xml:space="preserve">active policy and capital attention.</w:t>
      </w:r>
    </w:p>
    <w:p>
      <w:pPr>
        <w:pStyle w:val="BodyText"/>
      </w:pPr>
      <w:r>
        <w:t xml:space="preserve">Ninety percent is the kind of number that makes a policy office return your call.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Government &amp; Industry Partnerships Office | "Numbers In Service of People"</w:t>
      </w:r>
    </w:p>
    <w:p>
      <w:pPr>
        <w:pStyle w:val="FirstParagraph"/>
      </w:pPr>
      <w:r>
        <w:t xml:space="preserve">This sector rewards showing up in three places at once more than most —</w:t>
      </w:r>
      <w:r>
        <w:t xml:space="preserve"> </w:t>
      </w:r>
      <w:r>
        <w:t xml:space="preserve">policy, industry association, and trade show all move on their own clocks</w:t>
      </w:r>
      <w:r>
        <w:t xml:space="preserve"> </w:t>
      </w:r>
      <w:r>
        <w:t xml:space="preserve">here, and none of them is optional.</w:t>
      </w:r>
    </w:p>
    <w:p>
      <w:pPr>
        <w:pStyle w:val="SourceCode"/>
      </w:pPr>
      <w:r>
        <w:rPr>
          <w:rStyle w:val="VerbatimChar"/>
        </w:rPr>
        <w:t xml:space="preserve">             POLICY, INDUSTRY, AND TRADE SHOW — ALL THREE, IN PARALLEL</w:t>
      </w:r>
      <w:r>
        <w:br/>
      </w:r>
      <w:r>
        <w:rPr>
          <w:rStyle w:val="VerbatimChar"/>
        </w:rPr>
        <w:t xml:space="preserve">             CSMEval25-C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Identify the policy, industry-association, and trade-show channels best</w:t>
      </w:r>
      <w:r>
        <w:t xml:space="preserve"> </w:t>
      </w:r>
      <w:r>
        <w:t xml:space="preserve">positioned to reach this sector during its current active scaling phase.</w:t>
      </w:r>
    </w:p>
    <w:p>
      <w:pPr>
        <w:pStyle w:val="BodyText"/>
      </w:pPr>
      <w:r>
        <w:t xml:space="preserve">POLICY CHANNEL — DOE CRITICAL MATERIALS INSTITUTE</w:t>
      </w:r>
      <w:r>
        <w:t xml:space="preserve"> </w:t>
      </w:r>
      <w:r>
        <w:t xml:space="preserve">Direct mission overlap (see also CSMEval09); engage via CMI’s public</w:t>
      </w:r>
      <w:r>
        <w:t xml:space="preserve"> </w:t>
      </w:r>
      <w:r>
        <w:t xml:space="preserve">annual-review and partnership-inquiry channel.</w:t>
      </w:r>
    </w:p>
    <w:p>
      <w:pPr>
        <w:pStyle w:val="BodyText"/>
      </w:pPr>
      <w:r>
        <w:t xml:space="preserve">INDUSTRY CHANNELS</w:t>
      </w:r>
      <w:r>
        <w:t xml:space="preserve"> </w:t>
      </w:r>
      <w:r>
        <w:t xml:space="preserve">• National Mining Association — engage via its public industry-affairs</w:t>
      </w:r>
      <w:r>
        <w:t xml:space="preserve"> </w:t>
      </w:r>
      <w:r>
        <w:t xml:space="preserve">channel.</w:t>
      </w:r>
      <w:r>
        <w:t xml:space="preserve"> </w:t>
      </w:r>
      <w:r>
        <w:t xml:space="preserve">• Critical Minerals Institute — industry conference and watchlist series;</w:t>
      </w:r>
      <w:r>
        <w:t xml:space="preserve"> </w:t>
      </w:r>
      <w:r>
        <w:t xml:space="preserve">engage via its public conference channel.</w:t>
      </w:r>
    </w:p>
    <w:p>
      <w:pPr>
        <w:pStyle w:val="BodyText"/>
      </w:pPr>
      <w:r>
        <w:t xml:space="preserve">TRADE SHOW — MINEXPO INTERNATIONAL</w:t>
      </w:r>
      <w:r>
        <w:t xml:space="preserve"> </w:t>
      </w:r>
      <w:r>
        <w:t xml:space="preserve">The major mining-industry trade show; engage via its public exhibitor</w:t>
      </w:r>
      <w:r>
        <w:t xml:space="preserve"> </w:t>
      </w:r>
      <w:r>
        <w:t xml:space="preserve">channel.</w:t>
      </w:r>
    </w:p>
    <w:p>
      <w:pPr>
        <w:pStyle w:val="BodyText"/>
      </w:pPr>
      <w:r>
        <w:t xml:space="preserve">SUGGESTED SEQUENCING</w:t>
      </w:r>
      <w:r>
        <w:t xml:space="preserve"> </w:t>
      </w:r>
      <w:r>
        <w:t xml:space="preserve">1. DOE Critical Materials Institute (policy credibility, direct mission</w:t>
      </w:r>
      <w:r>
        <w:t xml:space="preserve"> </w:t>
      </w:r>
      <w:r>
        <w:t xml:space="preserve">overlap).</w:t>
      </w:r>
      <w:r>
        <w:t xml:space="preserve"> </w:t>
      </w:r>
      <w:r>
        <w:t xml:space="preserve">2. MINExpo International (broadest industry trade-show reach).</w:t>
      </w:r>
      <w:r>
        <w:t xml:space="preserve"> </w:t>
      </w:r>
      <w:r>
        <w:t xml:space="preserve">3. National Mining Association and Critical Minerals Institute in parallel</w:t>
      </w:r>
      <w:r>
        <w:t xml:space="preserve"> </w:t>
      </w:r>
      <w:r>
        <w:t xml:space="preserve">(industry-association and watchlist-conference channels).</w:t>
      </w:r>
    </w:p>
    <w:p>
      <w:pPr>
        <w:pStyle w:val="BodyText"/>
      </w:pPr>
      <w:r>
        <w:t xml:space="preserve">TIMING NOTE</w:t>
      </w:r>
      <w:r>
        <w:t xml:space="preserve"> </w:t>
      </w:r>
      <w:r>
        <w:t xml:space="preserve">Outreach timed to coincide with ongoing facility announcements (Niron,</w:t>
      </w:r>
      <w:r>
        <w:t xml:space="preserve"> </w:t>
      </w:r>
      <w:r>
        <w:t xml:space="preserve">MP Materials, or others that follow) will land during peak industry and</w:t>
      </w:r>
      <w:r>
        <w:t xml:space="preserve"> </w:t>
      </w:r>
      <w:r>
        <w:t xml:space="preserve">policy attention — this sector’s news cycle is actively moving right now.</w:t>
      </w:r>
    </w:p>
    <w:p>
      <w:pPr>
        <w:pStyle w:val="BodyText"/>
      </w:pPr>
      <w:r>
        <w:t xml:space="preserve">Three clocks, all ticking right now — better to be in all three rooms than pick one.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CSMEval25 Compiled Briefing Packet | 3 documents | June 2026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23" w:name="X4ff8a27c2e4e364e104333718220fbc5cce4066"/>
    <w:p>
      <w:pPr>
        <w:pStyle w:val="Heading1"/>
      </w:pPr>
      <w:r>
        <w:t xml:space="preserve">CSMGeneralOutreach — COMPILED COMPENDIUM (Mini)</w:t>
      </w:r>
    </w:p>
    <w:bookmarkStart w:id="12" w:name="Xa30698f00432415fc451300a488d7a19348543b"/>
    <w:p>
      <w:pPr>
        <w:pStyle w:val="Heading2"/>
      </w:pPr>
      <w:r>
        <w:t xml:space="preserve">Carrington Storm Motors | Safe Pod Engineering | June 2026</w:t>
      </w:r>
    </w:p>
    <w:p>
      <w:pPr>
        <w:pStyle w:val="FirstParagraph"/>
      </w:pPr>
      <w:r>
        <w:rPr>
          <w:b/>
          <w:bCs/>
        </w:rPr>
        <w:t xml:space="preserve">P1</w:t>
      </w:r>
      <w:r>
        <w:t xml:space="preserve"> </w:t>
      </w:r>
      <w:r>
        <w:t xml:space="preserve">The Signal From the Sun |</w:t>
      </w:r>
      <w:r>
        <w:t xml:space="preserve"> </w:t>
      </w:r>
      <w:r>
        <w:rPr>
          <w:b/>
          <w:bCs/>
        </w:rPr>
        <w:t xml:space="preserve">P2</w:t>
      </w:r>
      <w:r>
        <w:t xml:space="preserve"> </w:t>
      </w:r>
      <w:r>
        <w:t xml:space="preserve">House That Doesn’t Go Dark |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t xml:space="preserve">Vehicle Hardened |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t xml:space="preserve">Grid Underneath Everything |</w:t>
      </w:r>
      <w:r>
        <w:t xml:space="preserve"> </w:t>
      </w:r>
      <w:r>
        <w:rPr>
          <w:b/>
          <w:bCs/>
        </w:rPr>
        <w:t xml:space="preserve">P5</w:t>
      </w:r>
      <w:r>
        <w:t xml:space="preserve"> </w:t>
      </w:r>
      <w:r>
        <w:t xml:space="preserve">When Every Second Counts |</w:t>
      </w:r>
      <w:r>
        <w:t xml:space="preserve"> </w:t>
      </w:r>
      <w:r>
        <w:rPr>
          <w:b/>
          <w:bCs/>
        </w:rPr>
        <w:t xml:space="preserve">P6</w:t>
      </w:r>
      <w:r>
        <w:t xml:space="preserve"> </w:t>
      </w:r>
      <w:r>
        <w:t xml:space="preserve">Ships, Wings, Space |</w:t>
      </w:r>
      <w:r>
        <w:t xml:space="preserve"> </w:t>
      </w:r>
      <w:r>
        <w:rPr>
          <w:b/>
          <w:bCs/>
        </w:rPr>
        <w:t xml:space="preserve">P7</w:t>
      </w:r>
      <w:r>
        <w:t xml:space="preserve"> </w:t>
      </w:r>
      <w:r>
        <w:t xml:space="preserve">Materials Nobody Sees |</w:t>
      </w:r>
      <w:r>
        <w:t xml:space="preserve"> </w:t>
      </w:r>
      <w:r>
        <w:rPr>
          <w:b/>
          <w:bCs/>
        </w:rPr>
        <w:t xml:space="preserve">P8</w:t>
      </w:r>
      <w:r>
        <w:t xml:space="preserve"> </w:t>
      </w:r>
      <w:r>
        <w:t xml:space="preserve">Human Body in the Data |</w:t>
      </w:r>
      <w:r>
        <w:t xml:space="preserve"> </w:t>
      </w:r>
      <w:r>
        <w:rPr>
          <w:b/>
          <w:bCs/>
        </w:rPr>
        <w:t xml:space="preserve">P9</w:t>
      </w:r>
      <w:r>
        <w:t xml:space="preserve"> </w:t>
      </w:r>
      <w:r>
        <w:t xml:space="preserve">Why We Built All of This</w:t>
      </w:r>
    </w:p>
    <w:p>
      <w:pPr>
        <w:pStyle w:val="BodyText"/>
      </w:pPr>
      <w:r>
        <w:t xml:space="preserve">All parts: Williams Heuristic Communication Standard (CSMSOPP000001, MODULE-V2). Designed as companion to 35 CSMEval sector briefing packets.</w:t>
      </w:r>
    </w:p>
    <w:p>
      <w:r>
        <w:pict>
          <v:rect style="width:0;height:1.5pt" o:hralign="center" o:hrstd="t" o:hr="t"/>
        </w:pict>
      </w:r>
    </w:p>
    <w:bookmarkEnd w:id="12"/>
    <w:bookmarkStart w:id="13" w:name="p1-the-signal-from-the-sun"/>
    <w:p>
      <w:pPr>
        <w:pStyle w:val="Heading2"/>
      </w:pPr>
      <w:r>
        <w:t xml:space="preserve">P1 — THE SIGNAL FROM THE SUN</w:t>
      </w:r>
    </w:p>
    <w:p>
      <w:pPr>
        <w:pStyle w:val="FirstParagraph"/>
      </w:pPr>
      <w:r>
        <w:rPr>
          <w:b/>
          <w:bCs/>
        </w:rPr>
        <w:t xml:space="preserve">1. September 1859:</w:t>
      </w:r>
      <w:r>
        <w:t xml:space="preserve"> </w:t>
      </w:r>
      <w:r>
        <w:t xml:space="preserve">Carrington observed white-light flare. 17.6hr transit (still record). G5 storm hit Earth. Telegraph offices failed globally — some caught fire, operators shocked. Auroras visible in tropics. In 1859, most advanced tech was telegraph. Today it would reach every grid, vehicle, hospital generator, financial system, water plant.</w:t>
      </w:r>
    </w:p>
    <w:p>
      <w:pPr>
        <w:pStyle w:val="BodyText"/>
      </w:pPr>
      <w:r>
        <w:rPr>
          <w:b/>
          <w:bCs/>
        </w:rPr>
        <w:t xml:space="preserve">2. Solar Cycle 25:</w:t>
      </w:r>
      <w:r>
        <w:t xml:space="preserve"> </w:t>
      </w:r>
      <w:r>
        <w:t xml:space="preserve">2019 forecast: SSN ~115. NOAA SWPC Q1 2026 confirmed: ~137. 19% upward revision. We are at or near solar maximum right now.</w:t>
      </w:r>
    </w:p>
    <w:p>
      <w:pPr>
        <w:pStyle w:val="BodyText"/>
      </w:pPr>
      <w:r>
        <w:rPr>
          <w:b/>
          <w:bCs/>
        </w:rPr>
        <w:t xml:space="preserve">3. May 2024 Gannon Storm:</w:t>
      </w:r>
      <w:r>
        <w:t xml:space="preserve"> </w:t>
      </w:r>
      <w:r>
        <w:t xml:space="preserve">G5/Kp9, strongest since 2003. Grid held (NERC protocols). $500-565M U.S. agricultural losses from GPS/GNSS disruption. Measurable transformer stress across North America. Not a scenario — a receipt.</w:t>
      </w:r>
    </w:p>
    <w:p>
      <w:pPr>
        <w:pStyle w:val="BodyText"/>
      </w:pPr>
      <w:r>
        <w:rPr>
          <w:b/>
          <w:bCs/>
        </w:rPr>
        <w:t xml:space="preserve">4. Worse-case cost:</w:t>
      </w:r>
      <w:r>
        <w:t xml:space="preserve"> </w:t>
      </w:r>
      <w:r>
        <w:t xml:space="preserve">Lloyd’s modeled $2.4T global over 5 years. N. American Carrington scenario: $0.6-2.6T. Transformer replacement lead times: up to 12 months. Insurance brokers on alert January 2026 after G4 watch.</w:t>
      </w:r>
    </w:p>
    <w:p>
      <w:r>
        <w:pict>
          <v:rect style="width:0;height:1.5pt" o:hralign="center" o:hrstd="t" o:hr="t"/>
        </w:pict>
      </w:r>
    </w:p>
    <w:bookmarkEnd w:id="13"/>
    <w:bookmarkStart w:id="14" w:name="p2-the-house-that-doesnt-go-dark"/>
    <w:p>
      <w:pPr>
        <w:pStyle w:val="Heading2"/>
      </w:pPr>
      <w:r>
        <w:t xml:space="preserve">P2 — THE HOUSE THAT DOESN’T GO DARK</w:t>
      </w:r>
    </w:p>
    <w:p>
      <w:pPr>
        <w:pStyle w:val="FirstParagraph"/>
      </w:pPr>
      <w:r>
        <w:rPr>
          <w:b/>
          <w:bCs/>
        </w:rPr>
        <w:t xml:space="preserve">1. Stellar-Chill:</w:t>
      </w:r>
      <w:r>
        <w:t xml:space="preserve"> </w:t>
      </w:r>
      <w:r>
        <w:t xml:space="preserve">Electrocaloric cooling instead of compressor — no large motor, no refrigerant loop needing continuous grid power.</w:t>
      </w:r>
    </w:p>
    <w:p>
      <w:pPr>
        <w:pStyle w:val="BodyText"/>
      </w:pPr>
      <w:r>
        <w:rPr>
          <w:b/>
          <w:bCs/>
        </w:rPr>
        <w:t xml:space="preserve">2. Safe-Wave:</w:t>
      </w:r>
      <w:r>
        <w:t xml:space="preserve"> </w:t>
      </w:r>
      <w:r>
        <w:t xml:space="preserve">Solid-state GaN microwave — smaller, efficient, less vulnerable to induced-current damage than magnetron tube.</w:t>
      </w:r>
    </w:p>
    <w:p>
      <w:pPr>
        <w:pStyle w:val="BodyText"/>
      </w:pPr>
      <w:r>
        <w:rPr>
          <w:b/>
          <w:bCs/>
        </w:rPr>
        <w:t xml:space="preserve">3. Stone-Bake / Ancient Hearth:</w:t>
      </w:r>
      <w:r>
        <w:t xml:space="preserve"> </w:t>
      </w:r>
      <w:r>
        <w:t xml:space="preserve">Radiant ceramic heat, controlled combustion in modern form factor — cooking that never needed electricity.</w:t>
      </w:r>
    </w:p>
    <w:p>
      <w:pPr>
        <w:pStyle w:val="BodyText"/>
      </w:pPr>
      <w:r>
        <w:rPr>
          <w:b/>
          <w:bCs/>
        </w:rPr>
        <w:t xml:space="preserve">4. Hot water:</w:t>
      </w:r>
      <w:r>
        <w:t xml:space="preserve"> </w:t>
      </w:r>
      <w:r>
        <w:t xml:space="preserve">Chemically-bonded phosphate ceramic water heater, inflatable, heats without grid.</w:t>
      </w:r>
    </w:p>
    <w:p>
      <w:pPr>
        <w:pStyle w:val="BodyText"/>
      </w:pPr>
      <w:r>
        <w:rPr>
          <w:b/>
          <w:bCs/>
        </w:rPr>
        <w:t xml:space="preserve">5. Building itself:</w:t>
      </w:r>
      <w:r>
        <w:t xml:space="preserve"> </w:t>
      </w:r>
      <w:r>
        <w:t xml:space="preserve">BFRP rebar (no steel), dielectric geopolymer concrete, non-conductive wiring/plumbing, passive Chromatic Field Monitor for household-level EME early warning.</w:t>
      </w:r>
    </w:p>
    <w:p>
      <w:r>
        <w:pict>
          <v:rect style="width:0;height:1.5pt" o:hralign="center" o:hrstd="t" o:hr="t"/>
        </w:pict>
      </w:r>
    </w:p>
    <w:bookmarkEnd w:id="14"/>
    <w:bookmarkStart w:id="15" w:name="X6493a1949696d6b208df3a3b48ddf9ddaa2d316"/>
    <w:p>
      <w:pPr>
        <w:pStyle w:val="Heading2"/>
      </w:pPr>
      <w:r>
        <w:t xml:space="preserve">P3 — THE VEHICLE YOU ALREADY TRUST, HARDENED</w:t>
      </w:r>
    </w:p>
    <w:p>
      <w:pPr>
        <w:pStyle w:val="FirstParagraph"/>
      </w:pPr>
      <w:r>
        <w:rPr>
          <w:b/>
          <w:bCs/>
        </w:rPr>
        <w:t xml:space="preserve">1. Feet and hands:</w:t>
      </w:r>
      <w:r>
        <w:t xml:space="preserve"> </w:t>
      </w:r>
      <w:r>
        <w:t xml:space="preserve">Grounding-Sole and Vibra-Volt pedal covers reduce foot vibration. Neural-Grip steering wrap for hands. Backed by CSMHuman vibration research.</w:t>
      </w:r>
    </w:p>
    <w:p>
      <w:pPr>
        <w:pStyle w:val="BodyText"/>
      </w:pPr>
      <w:r>
        <w:rPr>
          <w:b/>
          <w:bCs/>
        </w:rPr>
        <w:t xml:space="preserve">2. Seat and neck:</w:t>
      </w:r>
      <w:r>
        <w:t xml:space="preserve"> </w:t>
      </w:r>
      <w:r>
        <w:t xml:space="preserve">Cervical-Guard and Mag-Float diamagnetic seat rail — whole-body and cervical vibration protection.</w:t>
      </w:r>
    </w:p>
    <w:p>
      <w:pPr>
        <w:pStyle w:val="BodyText"/>
      </w:pPr>
      <w:r>
        <w:rPr>
          <w:b/>
          <w:bCs/>
        </w:rPr>
        <w:t xml:space="preserve">3. Cabin:</w:t>
      </w:r>
      <w:r>
        <w:t xml:space="preserve"> </w:t>
      </w:r>
      <w:r>
        <w:t xml:space="preserve">Silence-Block door inserts, Stellar-Tint window film — cabin EMI and acoustic noise (especially relevant for EVs).</w:t>
      </w:r>
    </w:p>
    <w:p>
      <w:pPr>
        <w:pStyle w:val="BodyText"/>
      </w:pPr>
      <w:r>
        <w:rPr>
          <w:b/>
          <w:bCs/>
        </w:rPr>
        <w:t xml:space="preserve">4. Post-GPS navigation:</w:t>
      </w:r>
      <w:r>
        <w:t xml:space="preserve"> </w:t>
      </w:r>
      <w:r>
        <w:t xml:space="preserve">Way-Finder haptic insoles — piezoelectric energy-harvesting + LoRa mesh positioning.</w:t>
      </w:r>
    </w:p>
    <w:p>
      <w:pPr>
        <w:pStyle w:val="BodyText"/>
      </w:pPr>
      <w:r>
        <w:rPr>
          <w:b/>
          <w:bCs/>
        </w:rPr>
        <w:t xml:space="preserve">5. Child seat:</w:t>
      </w:r>
      <w:r>
        <w:t xml:space="preserve"> </w:t>
      </w:r>
      <w:r>
        <w:t xml:space="preserve">Cloud-Nest aerogel base — thermal and vibration protection.</w:t>
      </w:r>
    </w:p>
    <w:p>
      <w:r>
        <w:pict>
          <v:rect style="width:0;height:1.5pt" o:hralign="center" o:hrstd="t" o:hr="t"/>
        </w:pict>
      </w:r>
    </w:p>
    <w:bookmarkEnd w:id="15"/>
    <w:bookmarkStart w:id="16" w:name="p4-the-grid-underneath-everything"/>
    <w:p>
      <w:pPr>
        <w:pStyle w:val="Heading2"/>
      </w:pPr>
      <w:r>
        <w:t xml:space="preserve">P4 — THE GRID UNDERNEATH EVERYTHING</w:t>
      </w:r>
    </w:p>
    <w:p>
      <w:pPr>
        <w:pStyle w:val="FirstParagraph"/>
      </w:pPr>
      <w:r>
        <w:rPr>
          <w:b/>
          <w:bCs/>
        </w:rPr>
        <w:t xml:space="preserve">1. Electric grid:</w:t>
      </w:r>
      <w:r>
        <w:t xml:space="preserve"> </w:t>
      </w:r>
      <w:r>
        <w:t xml:space="preserve">Composite non-metallic transmission structures, dielectric substation fencing, low-cost passive field monitor.</w:t>
      </w:r>
    </w:p>
    <w:p>
      <w:pPr>
        <w:pStyle w:val="BodyText"/>
      </w:pPr>
      <w:r>
        <w:rPr>
          <w:b/>
          <w:bCs/>
        </w:rPr>
        <w:t xml:space="preserve">2. Bridges:</w:t>
      </w:r>
      <w:r>
        <w:t xml:space="preserve"> </w:t>
      </w:r>
      <w:r>
        <w:t xml:space="preserve">Audit methodology applied to 4 metro areas — steel girders/cables concentrate storm current like transmission lines.</w:t>
      </w:r>
    </w:p>
    <w:p>
      <w:pPr>
        <w:pStyle w:val="BodyText"/>
      </w:pPr>
      <w:r>
        <w:rPr>
          <w:b/>
          <w:bCs/>
        </w:rPr>
        <w:t xml:space="preserve">3. Pipelines:</w:t>
      </w:r>
      <w:r>
        <w:t xml:space="preserve"> </w:t>
      </w:r>
      <w:r>
        <w:t xml:space="preserve">Steel pipelines experience storm-driven corrosion at cathodic-protection joints. GFRP pipe alternative removes steel pathway.</w:t>
      </w:r>
    </w:p>
    <w:p>
      <w:pPr>
        <w:pStyle w:val="BodyText"/>
      </w:pPr>
      <w:r>
        <w:rPr>
          <w:b/>
          <w:bCs/>
        </w:rPr>
        <w:t xml:space="preserve">4. Water systems:</w:t>
      </w:r>
      <w:r>
        <w:t xml:space="preserve"> </w:t>
      </w:r>
      <w:r>
        <w:t xml:space="preserve">Treatment depends on grid power. Buried metal pipes carry storm-current exposure. No mandatory storm-hardening standard exists — being early still matters.</w:t>
      </w:r>
    </w:p>
    <w:p>
      <w:pPr>
        <w:pStyle w:val="BodyText"/>
      </w:pPr>
      <w:r>
        <w:rPr>
          <w:b/>
          <w:bCs/>
        </w:rPr>
        <w:t xml:space="preserve">5. Rail:</w:t>
      </w:r>
      <w:r>
        <w:t xml:space="preserve"> </w:t>
      </w:r>
      <w:r>
        <w:t xml:space="preserve">Continuous-welded rail and catenary wires = long-conductor geometry. Signaling failure is real-time safety question.</w:t>
      </w:r>
    </w:p>
    <w:p>
      <w:r>
        <w:pict>
          <v:rect style="width:0;height:1.5pt" o:hralign="center" o:hrstd="t" o:hr="t"/>
        </w:pict>
      </w:r>
    </w:p>
    <w:bookmarkEnd w:id="16"/>
    <w:bookmarkStart w:id="17" w:name="p5-when-every-second-counts"/>
    <w:p>
      <w:pPr>
        <w:pStyle w:val="Heading2"/>
      </w:pPr>
      <w:r>
        <w:t xml:space="preserve">P5 — WHEN EVERY SECOND COUNTS</w:t>
      </w:r>
    </w:p>
    <w:p>
      <w:pPr>
        <w:pStyle w:val="FirstParagraph"/>
      </w:pPr>
      <w:r>
        <w:rPr>
          <w:b/>
          <w:bCs/>
        </w:rPr>
        <w:t xml:space="preserve">1. Timeline:</w:t>
      </w:r>
      <w:r>
        <w:t xml:space="preserve"> </w:t>
      </w:r>
      <w:r>
        <w:t xml:space="preserve">Traffic signals fail T+15min, cell towers T+45min, major bridges T+8hrs. Most evac planning assumes far longer.</w:t>
      </w:r>
    </w:p>
    <w:p>
      <w:pPr>
        <w:pStyle w:val="BodyText"/>
      </w:pPr>
      <w:r>
        <w:rPr>
          <w:b/>
          <w:bCs/>
        </w:rPr>
        <w:t xml:space="preserve">2. Warning:</w:t>
      </w:r>
      <w:r>
        <w:t xml:space="preserve"> </w:t>
      </w:r>
      <w:r>
        <w:t xml:space="preserve">Schumann Resonance monitoring: 4-6hr pre-impact warning (vs. current 15-45min).</w:t>
      </w:r>
    </w:p>
    <w:p>
      <w:pPr>
        <w:pStyle w:val="BodyText"/>
      </w:pPr>
      <w:r>
        <w:rPr>
          <w:b/>
          <w:bCs/>
        </w:rPr>
        <w:t xml:space="preserve">3. High-rise evac:</w:t>
      </w:r>
      <w:r>
        <w:t xml:space="preserve"> </w:t>
      </w:r>
      <w:r>
        <w:t xml:space="preserve">Aegis-Ascension drone backpack — 250kg capacity, non-conductive airframe, no GPS dependency.</w:t>
      </w:r>
    </w:p>
    <w:p>
      <w:pPr>
        <w:pStyle w:val="BodyText"/>
      </w:pPr>
      <w:r>
        <w:rPr>
          <w:b/>
          <w:bCs/>
        </w:rPr>
        <w:t xml:space="preserve">4. Shelter:</w:t>
      </w:r>
      <w:r>
        <w:t xml:space="preserve"> </w:t>
      </w:r>
      <w:r>
        <w:t xml:space="preserve">Shipping-container emergency shelter — fully non-conductive shell (steel container = large antenna during storm).</w:t>
      </w:r>
    </w:p>
    <w:p>
      <w:pPr>
        <w:pStyle w:val="BodyText"/>
      </w:pPr>
      <w:r>
        <w:rPr>
          <w:b/>
          <w:bCs/>
        </w:rPr>
        <w:t xml:space="preserve">5. Communications:</w:t>
      </w:r>
      <w:r>
        <w:t xml:space="preserve"> </w:t>
      </w:r>
      <w:r>
        <w:t xml:space="preserve">256-node LoRa mesh, solar-charged, self-organizing, 30-day autonomous operation, no central hub or GPS.</w:t>
      </w:r>
    </w:p>
    <w:p>
      <w:r>
        <w:pict>
          <v:rect style="width:0;height:1.5pt" o:hralign="center" o:hrstd="t" o:hr="t"/>
        </w:pict>
      </w:r>
    </w:p>
    <w:bookmarkEnd w:id="17"/>
    <w:bookmarkStart w:id="18" w:name="p6-ships-wings-and-the-space-beyond"/>
    <w:p>
      <w:pPr>
        <w:pStyle w:val="Heading2"/>
      </w:pPr>
      <w:r>
        <w:t xml:space="preserve">P6 — SHIPS, WINGS, AND THE SPACE BEYOND</w:t>
      </w:r>
    </w:p>
    <w:p>
      <w:pPr>
        <w:pStyle w:val="FirstParagraph"/>
      </w:pPr>
      <w:r>
        <w:rPr>
          <w:b/>
          <w:bCs/>
        </w:rPr>
        <w:t xml:space="preserve">1. At sea:</w:t>
      </w:r>
      <w:r>
        <w:t xml:space="preserve"> </w:t>
      </w:r>
      <w:r>
        <w:t xml:space="preserve">Fleet-wide resilience retrofit (real cruise line case study) — hull, cabins, propulsion. Charlemagne Class: amphibious biomimetic hulls.</w:t>
      </w:r>
    </w:p>
    <w:p>
      <w:pPr>
        <w:pStyle w:val="BodyText"/>
      </w:pPr>
      <w:r>
        <w:rPr>
          <w:b/>
          <w:bCs/>
        </w:rPr>
        <w:t xml:space="preserve">2. In the air:</w:t>
      </w:r>
      <w:r>
        <w:t xml:space="preserve"> </w:t>
      </w:r>
      <w:r>
        <w:t xml:space="preserve">A-10 Thunderbolt II redesign in non-inductive composites — fully worked feasibility study, dual-use (natural EME + directed energy).</w:t>
      </w:r>
    </w:p>
    <w:p>
      <w:pPr>
        <w:pStyle w:val="BodyText"/>
      </w:pPr>
      <w:r>
        <w:rPr>
          <w:b/>
          <w:bCs/>
        </w:rPr>
        <w:t xml:space="preserve">3. Humanoid robots:</w:t>
      </w:r>
      <w:r>
        <w:t xml:space="preserve"> </w:t>
      </w:r>
      <w:r>
        <w:t xml:space="preserve">EME hardening case studies (legacy platform + Mars colonization). Distinctive anti-capture security architecture.</w:t>
      </w:r>
    </w:p>
    <w:p>
      <w:pPr>
        <w:pStyle w:val="BodyText"/>
      </w:pPr>
      <w:r>
        <w:rPr>
          <w:b/>
          <w:bCs/>
        </w:rPr>
        <w:t xml:space="preserve">4. In orbit:</w:t>
      </w:r>
      <w:r>
        <w:t xml:space="preserve"> </w:t>
      </w:r>
      <w:r>
        <w:t xml:space="preserve">Smart Rope launch-assist actuator, underwater/orbital kinetic launch concept — early-stage, honestly labeled.</w:t>
      </w:r>
    </w:p>
    <w:p>
      <w:pPr>
        <w:pStyle w:val="BodyText"/>
      </w:pPr>
      <w:r>
        <w:rPr>
          <w:b/>
          <w:bCs/>
        </w:rPr>
        <w:t xml:space="preserve">5. Uncrewed:</w:t>
      </w:r>
      <w:r>
        <w:t xml:space="preserve"> </w:t>
      </w:r>
      <w:r>
        <w:t xml:space="preserve">Wind-energy drone, wearable evac drone, sub-250g university research platform.</w:t>
      </w:r>
    </w:p>
    <w:p>
      <w:r>
        <w:pict>
          <v:rect style="width:0;height:1.5pt" o:hralign="center" o:hrstd="t" o:hr="t"/>
        </w:pict>
      </w:r>
    </w:p>
    <w:bookmarkEnd w:id="18"/>
    <w:bookmarkStart w:id="19" w:name="p7-the-materials-nobody-sees"/>
    <w:p>
      <w:pPr>
        <w:pStyle w:val="Heading2"/>
      </w:pPr>
      <w:r>
        <w:t xml:space="preserve">P7 — THE MATERIALS NOBODY SEES</w:t>
      </w:r>
    </w:p>
    <w:p>
      <w:pPr>
        <w:pStyle w:val="FirstParagraph"/>
      </w:pPr>
      <w:r>
        <w:rPr>
          <w:b/>
          <w:bCs/>
        </w:rPr>
        <w:t xml:space="preserve">1. Ceramics and fabrics:</w:t>
      </w:r>
      <w:r>
        <w:t xml:space="preserve"> </w:t>
      </w:r>
      <w:r>
        <w:t xml:space="preserve">UHTC and basalt-fiber composites. Real commercial supply chains exist (basalt fiber, geopolymer concrete).</w:t>
      </w:r>
    </w:p>
    <w:p>
      <w:pPr>
        <w:pStyle w:val="BodyText"/>
      </w:pPr>
      <w:r>
        <w:rPr>
          <w:b/>
          <w:bCs/>
        </w:rPr>
        <w:t xml:space="preserve">2. EMI coating:</w:t>
      </w:r>
      <w:r>
        <w:t xml:space="preserve"> </w:t>
      </w:r>
      <w:r>
        <w:t xml:space="preserve">MXene-based shielding — 90+ dB effectiveness on ordinary structures.</w:t>
      </w:r>
    </w:p>
    <w:p>
      <w:pPr>
        <w:pStyle w:val="BodyText"/>
      </w:pPr>
      <w:r>
        <w:rPr>
          <w:b/>
          <w:bCs/>
        </w:rPr>
        <w:t xml:space="preserve">3. Magnets:</w:t>
      </w:r>
      <w:r>
        <w:t xml:space="preserve"> </w:t>
      </w:r>
      <w:r>
        <w:t xml:space="preserve">Iron-nitride rare-earth-free magnets — alternative to China’s ~90% global production. Active federal tax credits, real facilities breaking ground.</w:t>
      </w:r>
    </w:p>
    <w:p>
      <w:pPr>
        <w:pStyle w:val="BodyText"/>
      </w:pPr>
      <w:r>
        <w:rPr>
          <w:b/>
          <w:bCs/>
        </w:rPr>
        <w:t xml:space="preserve">4. Aegis-Forge:</w:t>
      </w:r>
      <w:r>
        <w:t xml:space="preserve"> </w:t>
      </w:r>
      <w:r>
        <w:t xml:space="preserve">Thermal-cascade inductive separator recovers indium, yttrium, cobalt, titanium from end-of-life. 15-30% lifecycle cost recovery.</w:t>
      </w:r>
    </w:p>
    <w:p>
      <w:r>
        <w:pict>
          <v:rect style="width:0;height:1.5pt" o:hralign="center" o:hrstd="t" o:hr="t"/>
        </w:pict>
      </w:r>
    </w:p>
    <w:bookmarkEnd w:id="19"/>
    <w:bookmarkStart w:id="20" w:name="p8-the-human-body-in-the-data"/>
    <w:p>
      <w:pPr>
        <w:pStyle w:val="Heading2"/>
      </w:pPr>
      <w:r>
        <w:t xml:space="preserve">P8 — THE HUMAN BODY IN THE DATA</w:t>
      </w:r>
    </w:p>
    <w:p>
      <w:pPr>
        <w:pStyle w:val="FirstParagraph"/>
      </w:pPr>
      <w:r>
        <w:rPr>
          <w:b/>
          <w:bCs/>
        </w:rPr>
        <w:t xml:space="preserve">1. Vibration standard:</w:t>
      </w:r>
      <w:r>
        <w:t xml:space="preserve"> </w:t>
      </w:r>
      <w:r>
        <w:t xml:space="preserve">ISO 5349 (updated Dec 2025 with shock/impulse metric). Lower-cost wearable sensor validated for exposure monitoring.</w:t>
      </w:r>
    </w:p>
    <w:p>
      <w:pPr>
        <w:pStyle w:val="BodyText"/>
      </w:pPr>
      <w:r>
        <w:rPr>
          <w:b/>
          <w:bCs/>
        </w:rPr>
        <w:t xml:space="preserve">2. Molecular mechanism:</w:t>
      </w:r>
      <w:r>
        <w:t xml:space="preserve"> </w:t>
      </w:r>
      <w:r>
        <w:t xml:space="preserve">Piezo1 (mechanosensitive protein) explains at cellular level why sustained vibration damages blood vessels.</w:t>
      </w:r>
    </w:p>
    <w:p>
      <w:pPr>
        <w:pStyle w:val="BodyText"/>
      </w:pPr>
      <w:r>
        <w:rPr>
          <w:b/>
          <w:bCs/>
        </w:rPr>
        <w:t xml:space="preserve">3. Defibrillation:</w:t>
      </w:r>
      <w:r>
        <w:t xml:space="preserve"> </w:t>
      </w:r>
      <w:r>
        <w:t xml:space="preserve">DSED and Vector-Change approaches for refractory VF — active clinical evidence base.</w:t>
      </w:r>
    </w:p>
    <w:p>
      <w:pPr>
        <w:pStyle w:val="BodyText"/>
      </w:pPr>
      <w:r>
        <w:rPr>
          <w:b/>
          <w:bCs/>
        </w:rPr>
        <w:t xml:space="preserve">4. Acoustic diagnostics:</w:t>
      </w:r>
      <w:r>
        <w:t xml:space="preserve"> </w:t>
      </w:r>
      <w:r>
        <w:t xml:space="preserve">Ultrasonic Doppler vibrometry for coronary artery disease.</w:t>
      </w:r>
    </w:p>
    <w:p>
      <w:pPr>
        <w:pStyle w:val="BodyText"/>
      </w:pPr>
      <w:r>
        <w:rPr>
          <w:b/>
          <w:bCs/>
        </w:rPr>
        <w:t xml:space="preserve">5. Why hardware company did this:</w:t>
      </w:r>
      <w:r>
        <w:t xml:space="preserve"> </w:t>
      </w:r>
      <w:r>
        <w:t xml:space="preserve">Every product contacts a human body. Biomechanical homework came first.</w:t>
      </w:r>
    </w:p>
    <w:p>
      <w:r>
        <w:pict>
          <v:rect style="width:0;height:1.5pt" o:hralign="center" o:hrstd="t" o:hr="t"/>
        </w:pict>
      </w:r>
    </w:p>
    <w:bookmarkEnd w:id="20"/>
    <w:bookmarkStart w:id="21" w:name="p9-why-we-built-all-of-this"/>
    <w:p>
      <w:pPr>
        <w:pStyle w:val="Heading2"/>
      </w:pPr>
      <w:r>
        <w:t xml:space="preserve">P9 — WHY WE BUILT ALL OF THIS</w:t>
      </w:r>
    </w:p>
    <w:p>
      <w:pPr>
        <w:pStyle w:val="FirstParagraph"/>
      </w:pPr>
      <w:r>
        <w:rPr>
          <w:b/>
          <w:bCs/>
        </w:rPr>
        <w:t xml:space="preserve">The Honest Business Case:</w:t>
      </w:r>
      <w:r>
        <w:t xml:space="preserve"> </w:t>
      </w:r>
      <w:r>
        <w:t xml:space="preserve">Hazard is real, well-documented, under-addressed relative to insurance pricing (Lloyd’s: $2.4T global, $0.6-2.6T N. American). Building hardware, materials, and protocols is both a genuine engineering opportunity and the right thing to be doing in 2026 at this solar cycle peak.</w:t>
      </w:r>
    </w:p>
    <w:p>
      <w:pPr>
        <w:pStyle w:val="BodyText"/>
      </w:pPr>
      <w:r>
        <w:rPr>
          <w:b/>
          <w:bCs/>
        </w:rPr>
        <w:t xml:space="preserve">How to Reach Us:</w:t>
      </w:r>
      <w:r>
        <w:t xml:space="preserve"> </w:t>
      </w:r>
      <w:r>
        <w:t xml:space="preserve">Reply identifying which part (1-8) is relevant. If you received a tailored sector briefing, follow its specific next steps. Researchers, journalists, skeptics: tell us what we got wrong — Data Sacred principle means we’d rather be corrected now than quoted inaccurately later.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Mini Compendium | 9 parts compressed from full CSMGeneralOutreach series | June 2026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Start w:id="22" w:name="links-contact"/>
    <w:p>
      <w:pPr>
        <w:pStyle w:val="Heading2"/>
      </w:pPr>
      <w:r>
        <w:t xml:space="preserve">Links &amp; Contact</w:t>
      </w:r>
    </w:p>
    <w:p>
      <w:pPr>
        <w:pStyle w:val="FirstParagraph"/>
      </w:pPr>
      <w:r>
        <w:rPr>
          <w:b/>
          <w:bCs/>
        </w:rPr>
        <w:t xml:space="preserve">Compendium:</w:t>
      </w:r>
      <w:r>
        <w:t xml:space="preserve"> </w:t>
      </w:r>
      <w:r>
        <w:t xml:space="preserve">https://github.com/ZirconiaAegisC/CarrPod/blob/main/CSMGeneralOutreach/CSMGeneralOutreach-COMPILED-Compendium.md</w:t>
      </w:r>
    </w:p>
    <w:p>
      <w:pPr>
        <w:pStyle w:val="BodyText"/>
      </w:pPr>
      <w:r>
        <w:rPr>
          <w:b/>
          <w:bCs/>
        </w:rPr>
        <w:t xml:space="preserve">Web:</w:t>
      </w:r>
      <w:r>
        <w:t xml:space="preserve"> </w:t>
      </w:r>
      <w:r>
        <w:t xml:space="preserve">www.CarrPod.Net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Zirconia@AegisC.Space | JasonBrodsky@Hotmail.com</w:t>
      </w:r>
    </w:p>
    <w:p>
      <w:pPr>
        <w:pStyle w:val="BodyText"/>
      </w:pPr>
      <w:r>
        <w:t xml:space="preserve">— Carrington Storm Motors | Safe Pod Engineering Company</w:t>
      </w:r>
      <w:r>
        <w:t xml:space="preserve"> </w:t>
      </w:r>
      <w:r>
        <w:rPr>
          <w:i/>
          <w:iCs/>
        </w:rPr>
        <w:t xml:space="preserve">CSMEval25 | June 2026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CSMEval25 Combined Email Body</dc:title>
  <dc:creator/>
  <cp:keywords/>
  <dcterms:created xsi:type="dcterms:W3CDTF">2026-07-03T03:30:43Z</dcterms:created>
  <dcterms:modified xsi:type="dcterms:W3CDTF">2026-07-03T03:30:43Z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2026-06-01</vt:lpwstr>
  </property>
</Properties>
</file>