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CSMEval26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summarizing Carrington Storm Motors’ CSMHuman</w:t>
      </w:r>
      <w:r>
        <w:t xml:space="preserve"> </w:t>
      </w:r>
      <w:r>
        <w:t xml:space="preserve">research corpus content on Double Sequential External Defibrillation and</w:t>
      </w:r>
      <w:r>
        <w:t xml:space="preserve"> </w:t>
      </w:r>
      <w:r>
        <w:t xml:space="preserve">Vector-Change defibrillation strategy, ultrasonic Doppler vibrometry</w:t>
      </w:r>
      <w:r>
        <w:t xml:space="preserve"> </w:t>
      </w:r>
      <w:r>
        <w:t xml:space="preserve">diagnostics, and vibration-exposure dosimetry — offered as a literature</w:t>
      </w:r>
      <w:r>
        <w:t xml:space="preserve"> </w:t>
      </w:r>
      <w:r>
        <w:t xml:space="preserve">synthesis for your clinical affairs or R&amp;D team to cross-reference. We’d</w:t>
      </w:r>
      <w:r>
        <w:t xml:space="preserve"> </w:t>
      </w:r>
      <w:r>
        <w:t xml:space="preserve">welcome a technical-session conversation at AHA Scientific Sessions or HRS.</w:t>
      </w:r>
    </w:p>
    <w:p>
      <w:pPr>
        <w:pStyle w:val="BodyText"/>
      </w:pPr>
      <w:r>
        <w:t xml:space="preserve">Appreciate your team holding a genuinely high evidentiary bar — that’s</w:t>
      </w:r>
      <w:r>
        <w:t xml:space="preserve"> </w:t>
      </w:r>
      <w:r>
        <w:t xml:space="preserve">exactly why this synthesis is worth checking against it.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6-compiled-briefing-packet"/>
    <w:p>
      <w:pPr>
        <w:pStyle w:val="Heading1"/>
      </w:pPr>
      <w:r>
        <w:t xml:space="preserve">CSMEval26 — COMPILED BRIEFING PACKET</w:t>
      </w:r>
    </w:p>
    <w:bookmarkStart w:id="10" w:name="X580a88b6bb635d3f3f0443d2d34715aaea7c6d5"/>
    <w:p>
      <w:pPr>
        <w:pStyle w:val="Heading2"/>
      </w:pPr>
      <w:r>
        <w:t xml:space="preserve">Medical Device &amp; Biomedical Equipment Manufacturers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(CSMEval26),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You’re the Audience We Get to Cite, Not Persuade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Evergreen, Not Storm-Cycle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The Clinical Calendar, Not Our Calendar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"True Things, Clearly Said"</w:t>
      </w:r>
    </w:p>
    <w:p>
      <w:pPr>
        <w:pStyle w:val="FirstParagraph"/>
      </w:pPr>
      <w:r>
        <w:t xml:space="preserve">Every other sector in this series needs to be introduced to unfamiliar</w:t>
      </w:r>
      <w:r>
        <w:t xml:space="preserve"> </w:t>
      </w:r>
      <w:r>
        <w:t xml:space="preserve">science. Not you. Cardiac electrophysiology, defibrillation strategy, and</w:t>
      </w:r>
      <w:r>
        <w:t xml:space="preserve"> </w:t>
      </w:r>
      <w:r>
        <w:t xml:space="preserve">vibrometry diagnostics are already your daily vocabulary — this briefing is</w:t>
      </w:r>
      <w:r>
        <w:t xml:space="preserve"> </w:t>
      </w:r>
      <w:r>
        <w:t xml:space="preserve">just making sure our literature synthesis is current with yours.</w:t>
      </w:r>
    </w:p>
    <w:p>
      <w:pPr>
        <w:pStyle w:val="SourceCode"/>
      </w:pPr>
      <w:r>
        <w:rPr>
          <w:rStyle w:val="VerbatimChar"/>
        </w:rPr>
        <w:t xml:space="preserve">             YOU'RE THE AUDIENCE WE GET TO CITE, NOT PERSUADE</w:t>
      </w:r>
      <w:r>
        <w:br/>
      </w:r>
      <w:r>
        <w:rPr>
          <w:rStyle w:val="VerbatimChar"/>
        </w:rPr>
        <w:t xml:space="preserve">             CSMEval26-A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CSMHuman research corpus’s clinical-literature content</w:t>
      </w:r>
      <w:r>
        <w:t xml:space="preserve"> </w:t>
      </w:r>
      <w:r>
        <w:t xml:space="preserve">directly relevant to medical device and biomedical equipment manufacturers.</w:t>
      </w:r>
    </w:p>
    <w:p>
      <w:pPr>
        <w:pStyle w:val="Compact"/>
        <w:numPr>
          <w:ilvl w:val="0"/>
          <w:numId w:val="1002"/>
        </w:numPr>
      </w:pPr>
      <w:r>
        <w:t xml:space="preserve">DSED/VC DEFIBRILLATION STRATEGY SYNTHESIS — the CSMHuman00000000031 V2.0</w:t>
      </w:r>
      <w:r>
        <w:t xml:space="preserve"> </w:t>
      </w:r>
      <w:r>
        <w:t xml:space="preserve">update incorporates the DOSE-VF trial and a 2025 systematic review on</w:t>
      </w:r>
      <w:r>
        <w:t xml:space="preserve"> </w:t>
      </w:r>
      <w:r>
        <w:t xml:space="preserve">Double Sequential External Defibrillation and Vector-Change defibrillation</w:t>
      </w:r>
      <w:r>
        <w:t xml:space="preserve"> </w:t>
      </w:r>
      <w:r>
        <w:t xml:space="preserve">strategies for refractory VF.</w:t>
      </w:r>
    </w:p>
    <w:p>
      <w:pPr>
        <w:pStyle w:val="Compact"/>
        <w:numPr>
          <w:ilvl w:val="0"/>
          <w:numId w:val="1002"/>
        </w:numPr>
      </w:pPr>
      <w:r>
        <w:t xml:space="preserve">ULTRASONIC DOPPLER VIBROMETRY RESEARCH — acoustic coronary-artery-disease</w:t>
      </w:r>
      <w:r>
        <w:t xml:space="preserve"> </w:t>
      </w:r>
      <w:r>
        <w:t xml:space="preserve">diagnostic literature synthesis (CSMHuman00000000033 V2.0).</w:t>
      </w:r>
    </w:p>
    <w:p>
      <w:pPr>
        <w:pStyle w:val="Compact"/>
        <w:numPr>
          <w:ilvl w:val="0"/>
          <w:numId w:val="1002"/>
        </w:numPr>
      </w:pPr>
      <w:r>
        <w:t xml:space="preserve">VIBRATION EXPOSURE DOSIMETRY RESEARCH — HAVS/whole-body-vibration</w:t>
      </w:r>
      <w:r>
        <w:t xml:space="preserve"> </w:t>
      </w:r>
      <w:r>
        <w:t xml:space="preserve">monitoring literature spanning multiple CSMHuman documents, relevant to</w:t>
      </w:r>
      <w:r>
        <w:t xml:space="preserve"> </w:t>
      </w:r>
      <w:r>
        <w:t xml:space="preserve">occupational health monitoring device manufacturers (cross-reference</w:t>
      </w:r>
      <w:r>
        <w:t xml:space="preserve"> </w:t>
      </w:r>
      <w:r>
        <w:t xml:space="preserve">CSMEval27).</w:t>
      </w:r>
    </w:p>
    <w:p>
      <w:pPr>
        <w:pStyle w:val="Compact"/>
        <w:numPr>
          <w:ilvl w:val="0"/>
          <w:numId w:val="1002"/>
        </w:numPr>
      </w:pPr>
      <w:r>
        <w:t xml:space="preserve">RBC/HEMORHEOLOGY DIAGNOSTIC RESEARCH — relevant to blood analyzer and</w:t>
      </w:r>
      <w:r>
        <w:t xml:space="preserve"> </w:t>
      </w:r>
      <w:r>
        <w:t xml:space="preserve">apheresis equipment diagnostics (CSMHuman00000000036 V2.0).</w:t>
      </w:r>
    </w:p>
    <w:p>
      <w:pPr>
        <w:pStyle w:val="FirstParagraph"/>
      </w:pPr>
      <w:r>
        <w:t xml:space="preserve">WHAT WE’RE ACTUALLY OFFERING</w:t>
      </w:r>
      <w:r>
        <w:t xml:space="preserve"> </w:t>
      </w:r>
      <w:r>
        <w:t xml:space="preserve">A literature synthesis your clinical affairs team can cross-reference</w:t>
      </w:r>
      <w:r>
        <w:t xml:space="preserve"> </w:t>
      </w:r>
      <w:r>
        <w:t xml:space="preserve">against its own — not a product pitch, not a claim of clinical validation</w:t>
      </w:r>
      <w:r>
        <w:t xml:space="preserve"> </w:t>
      </w:r>
      <w:r>
        <w:t xml:space="preserve">we haven’t earned, just a current, well-sourced summary of an evidence base</w:t>
      </w:r>
      <w:r>
        <w:t xml:space="preserve"> </w:t>
      </w:r>
      <w:r>
        <w:t xml:space="preserve">you already track independently.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sector’s interest in this research is</w:t>
      </w:r>
      <w:r>
        <w:t xml:space="preserve"> </w:t>
      </w:r>
      <w:r>
        <w:t xml:space="preserve">evergreen, unlike most of this outreach series’ storm-cycle timing.</w:t>
      </w:r>
    </w:p>
    <w:p>
      <w:pPr>
        <w:pStyle w:val="BodyText"/>
      </w:pPr>
      <w:r>
        <w:t xml:space="preserve">We’re not asking you to trust our science. We’re asking you to check it against yours.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"Honest Communication, Always"</w:t>
      </w:r>
    </w:p>
    <w:p>
      <w:pPr>
        <w:pStyle w:val="FirstParagraph"/>
      </w:pPr>
      <w:r>
        <w:t xml:space="preserve">Most of this outreach series is timed to a solar cycle, a storm season, or a</w:t>
      </w:r>
      <w:r>
        <w:t xml:space="preserve"> </w:t>
      </w:r>
      <w:r>
        <w:t xml:space="preserve">regulatory review window. This sector’s interest doesn’t work that way, and</w:t>
      </w:r>
      <w:r>
        <w:t xml:space="preserve"> </w:t>
      </w:r>
      <w:r>
        <w:t xml:space="preserve">pretending otherwise would misrepresent both the science and the audience.</w:t>
      </w:r>
    </w:p>
    <w:p>
      <w:pPr>
        <w:pStyle w:val="SourceCode"/>
      </w:pPr>
      <w:r>
        <w:rPr>
          <w:rStyle w:val="VerbatimChar"/>
        </w:rPr>
        <w:t xml:space="preserve">             EVERGREEN, NOT STORM-CYCLE</w:t>
      </w:r>
      <w:r>
        <w:br/>
      </w:r>
      <w:r>
        <w:rPr>
          <w:rStyle w:val="VerbatimChar"/>
        </w:rPr>
        <w:t xml:space="preserve">             CSMEval26-B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medical device manufacturers’ interest in this research corpus</w:t>
      </w:r>
      <w:r>
        <w:t xml:space="preserve"> </w:t>
      </w:r>
      <w:r>
        <w:t xml:space="preserve">is evergreen rather than tied to a specific solar-cycle timing driver, and</w:t>
      </w:r>
      <w:r>
        <w:t xml:space="preserve"> </w:t>
      </w:r>
      <w:r>
        <w:t xml:space="preserve">why that changes how this briefing should be read.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This sector is unique in this outreach series: rather than needing</w:t>
      </w:r>
      <w:r>
        <w:t xml:space="preserve"> </w:t>
      </w:r>
      <w:r>
        <w:t xml:space="preserve">introduction to underlying science, medical device manufacturers are the</w:t>
      </w:r>
      <w:r>
        <w:t xml:space="preserve"> </w:t>
      </w:r>
      <w:r>
        <w:t xml:space="preserve">direct commercial audience for a large share of the CSMHuman research</w:t>
      </w:r>
      <w:r>
        <w:t xml:space="preserve"> </w:t>
      </w:r>
      <w:r>
        <w:t xml:space="preserve">corpus’s own citations.</w:t>
      </w:r>
      <w:r>
        <w:t xml:space="preserve"> </w:t>
      </w:r>
      <w:r>
        <w:t xml:space="preserve">• The DSED/VC defibrillation evidence base and ultrasonic vibrometry</w:t>
      </w:r>
      <w:r>
        <w:t xml:space="preserve"> </w:t>
      </w:r>
      <w:r>
        <w:t xml:space="preserve">diagnostic literature are both active, evolving clinical topics</w:t>
      </w:r>
      <w:r>
        <w:t xml:space="preserve"> </w:t>
      </w:r>
      <w:r>
        <w:t xml:space="preserve">independent of any space-weather framing — the CSMHuman corpus happens to</w:t>
      </w:r>
      <w:r>
        <w:t xml:space="preserve"> </w:t>
      </w:r>
      <w:r>
        <w:t xml:space="preserve">track them as part of its broader research scope.</w:t>
      </w:r>
      <w:r>
        <w:t xml:space="preserve"> </w:t>
      </w:r>
      <w:r>
        <w:t xml:space="preserve">• Regulatory Affairs relevance (FDA 510(k)/PMA pathway) means any literature</w:t>
      </w:r>
      <w:r>
        <w:t xml:space="preserve"> </w:t>
      </w:r>
      <w:r>
        <w:t xml:space="preserve">synthesis offered here needs to be held to a higher evidentiary standard</w:t>
      </w:r>
      <w:r>
        <w:t xml:space="preserve"> </w:t>
      </w:r>
      <w:r>
        <w:t xml:space="preserve">than a general-audience briefing — worth naming plainly rather than</w:t>
      </w:r>
      <w:r>
        <w:t xml:space="preserve"> </w:t>
      </w:r>
      <w:r>
        <w:t xml:space="preserve">glossing over.</w:t>
      </w:r>
    </w:p>
    <w:p>
      <w:pPr>
        <w:pStyle w:val="BodyText"/>
      </w:pPr>
      <w:r>
        <w:t xml:space="preserve">WHY WE’RE NOT MANUFACTURING URGENCY HERE, EITHER</w:t>
      </w:r>
      <w:r>
        <w:t xml:space="preserve"> </w:t>
      </w:r>
      <w:r>
        <w:t xml:space="preserve">Like the aerospace/defense advanced-concepts sector (CSMEval13), this</w:t>
      </w:r>
      <w:r>
        <w:t xml:space="preserve"> </w:t>
      </w:r>
      <w:r>
        <w:t xml:space="preserve">briefing has no artificial clock. Clinical literature synthesis is valuable</w:t>
      </w:r>
      <w:r>
        <w:t xml:space="preserve"> </w:t>
      </w:r>
      <w:r>
        <w:t xml:space="preserve">whenever it’s current and accurate — not more valuable during a storm</w:t>
      </w:r>
      <w:r>
        <w:t xml:space="preserve"> </w:t>
      </w:r>
      <w:r>
        <w:t xml:space="preserve">season, less valuable outside of one.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AHA Scientific Sessions and HRS as the primary venues,</w:t>
      </w:r>
      <w:r>
        <w:t xml:space="preserve"> </w:t>
      </w:r>
      <w:r>
        <w:t xml:space="preserve">timed to their own evergreen annual cycle rather than any external event.</w:t>
      </w:r>
    </w:p>
    <w:p>
      <w:pPr>
        <w:pStyle w:val="BodyText"/>
      </w:pPr>
      <w:r>
        <w:t xml:space="preserve">No storm needed for this one to matter. Good data matters on its own schedule.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"Excellence in Service, Consistently Delivered"</w:t>
      </w:r>
    </w:p>
    <w:p>
      <w:pPr>
        <w:pStyle w:val="FirstParagraph"/>
      </w:pPr>
      <w:r>
        <w:t xml:space="preserve">This sector already has its own well-established annual technical calendar</w:t>
      </w:r>
      <w:r>
        <w:t xml:space="preserve"> </w:t>
      </w:r>
      <w:r>
        <w:t xml:space="preserve">— we’re just asking to be a cross-reference at the right stop on it.</w:t>
      </w:r>
    </w:p>
    <w:p>
      <w:pPr>
        <w:pStyle w:val="SourceCode"/>
      </w:pPr>
      <w:r>
        <w:rPr>
          <w:rStyle w:val="VerbatimChar"/>
        </w:rPr>
        <w:t xml:space="preserve">             THE CLINICAL CALENDAR, NOT OUR CALENDAR</w:t>
      </w:r>
      <w:r>
        <w:br/>
      </w:r>
      <w:r>
        <w:rPr>
          <w:rStyle w:val="VerbatimChar"/>
        </w:rPr>
        <w:t xml:space="preserve">             CSMEval26-C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clinical and industry-association venues best suited to</w:t>
      </w:r>
      <w:r>
        <w:t xml:space="preserve"> </w:t>
      </w:r>
      <w:r>
        <w:t xml:space="preserve">cross-referencing the CSMHuman literature synthesis against practicing</w:t>
      </w:r>
      <w:r>
        <w:t xml:space="preserve"> </w:t>
      </w:r>
      <w:r>
        <w:t xml:space="preserve">clinical affairs and R&amp;D teams.</w:t>
      </w:r>
    </w:p>
    <w:p>
      <w:pPr>
        <w:pStyle w:val="BodyText"/>
      </w:pPr>
      <w:r>
        <w:t xml:space="preserve">PRIMARY VENUE — AHA SCIENTIFIC SESSIONS</w:t>
      </w:r>
      <w:r>
        <w:t xml:space="preserve"> </w:t>
      </w:r>
      <w:r>
        <w:t xml:space="preserve">American Heart Association’s annual meeting; the primary distribution event</w:t>
      </w:r>
      <w:r>
        <w:t xml:space="preserve"> </w:t>
      </w:r>
      <w:r>
        <w:t xml:space="preserve">for the DSED/VC defibrillation-strategy literature specifically.</w:t>
      </w:r>
    </w:p>
    <w:p>
      <w:pPr>
        <w:pStyle w:val="BodyText"/>
      </w:pPr>
      <w:r>
        <w:t xml:space="preserve">SECONDARY VENUES</w:t>
      </w:r>
      <w:r>
        <w:t xml:space="preserve"> </w:t>
      </w:r>
      <w:r>
        <w:t xml:space="preserve">• Heart Rhythm Society (HRS) Annual Meeting — cardiac rhythm management</w:t>
      </w:r>
      <w:r>
        <w:t xml:space="preserve"> </w:t>
      </w:r>
      <w:r>
        <w:t xml:space="preserve">audience specifically.</w:t>
      </w:r>
      <w:r>
        <w:t xml:space="preserve"> </w:t>
      </w:r>
      <w:r>
        <w:t xml:space="preserve">• AdvaMed — medical device industry trade association; broader</w:t>
      </w:r>
      <w:r>
        <w:t xml:space="preserve"> </w:t>
      </w:r>
      <w:r>
        <w:t xml:space="preserve">manufacturer-side reach beyond the clinical societies.</w:t>
      </w:r>
      <w:r>
        <w:t xml:space="preserve"> </w:t>
      </w:r>
      <w:r>
        <w:t xml:space="preserve">• AAMI (Association for the Advancement of Medical Instrumentation) —</w:t>
      </w:r>
      <w:r>
        <w:t xml:space="preserve"> </w:t>
      </w:r>
      <w:r>
        <w:t xml:space="preserve">relevant for the instrumentation/diagnostic-equipment angle specifically.</w:t>
      </w:r>
      <w:r>
        <w:t xml:space="preserve"> </w:t>
      </w:r>
      <w:r>
        <w:t xml:space="preserve">• American College of Emergency Physicians (ACEP) — relevant for the</w:t>
      </w:r>
      <w:r>
        <w:t xml:space="preserve"> </w:t>
      </w:r>
      <w:r>
        <w:t xml:space="preserve">clinical-practice side of defibrillation-strategy literature.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AHA Scientific Sessions (broadest, highest-credibility single venue).</w:t>
      </w:r>
      <w:r>
        <w:t xml:space="preserve"> </w:t>
      </w:r>
      <w:r>
        <w:t xml:space="preserve">2. HRS Annual Meeting (cardiac-rhythm-specific technical audience).</w:t>
      </w:r>
      <w:r>
        <w:t xml:space="preserve"> </w:t>
      </w:r>
      <w:r>
        <w:t xml:space="preserve">3. AdvaMed and AAMI in parallel (manufacturer/instrumentation-side reach).</w:t>
      </w:r>
    </w:p>
    <w:p>
      <w:pPr>
        <w:pStyle w:val="BodyText"/>
      </w:pPr>
      <w:r>
        <w:t xml:space="preserve">Same calendar your clinical affairs team already keeps — we just want a slot on it.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CSMEval26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CSMEval26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CSMEval26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