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CSMEval27 Combined Email Body</w:t>
      </w:r>
    </w:p>
    <w:p>
      <w:pPr>
        <w:pStyle w:val="Date"/>
      </w:pPr>
      <w:r>
        <w:t xml:space="preserve">2026-06-01</w:t>
      </w:r>
    </w:p>
    <w:p>
      <w:pPr>
        <w:pStyle w:val="FirstParagraph"/>
      </w:pPr>
      <w:r>
        <w:t xml:space="preserve">Attached is a briefing packet synthesizing ISO 5349-3:2025’s new shock/</w:t>
      </w:r>
      <w:r>
        <w:t xml:space="preserve"> </w:t>
      </w:r>
      <w:r>
        <w:t xml:space="preserve">impulse vibration standard, alongside a 2025 wearable-sensor validation</w:t>
      </w:r>
      <w:r>
        <w:t xml:space="preserve"> </w:t>
      </w:r>
      <w:r>
        <w:t xml:space="preserve">method that could lower exposure-monitoring compliance costs, from</w:t>
      </w:r>
      <w:r>
        <w:t xml:space="preserve"> </w:t>
      </w:r>
      <w:r>
        <w:t xml:space="preserve">Carrington Storm Motors’ CSMHuman research corpus. Given how new the</w:t>
      </w:r>
      <w:r>
        <w:t xml:space="preserve"> </w:t>
      </w:r>
      <w:r>
        <w:t xml:space="preserve">standard is, we wanted this in front of your compliance team now rather</w:t>
      </w:r>
      <w:r>
        <w:t xml:space="preserve"> </w:t>
      </w:r>
      <w:r>
        <w:t xml:space="preserve">than at the next annual conference cycle.</w:t>
      </w:r>
    </w:p>
    <w:p>
      <w:pPr>
        <w:pStyle w:val="BodyText"/>
      </w:pPr>
      <w:r>
        <w:t xml:space="preserve">Hope this saves your team a few hours of catching up on the new standard.</w:t>
      </w:r>
    </w:p>
    <w:p>
      <w:pPr>
        <w:pStyle w:val="BodyText"/>
      </w:pPr>
      <w:r>
        <w:t xml:space="preserve">| Carrington Storm Motors | Safe Pod Engineering Company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csmeval27-compiled-briefing-packet"/>
    <w:p>
      <w:pPr>
        <w:pStyle w:val="Heading1"/>
      </w:pPr>
      <w:r>
        <w:t xml:space="preserve">CSMEval27 — COMPILED BRIEFING PACKET</w:t>
      </w:r>
    </w:p>
    <w:bookmarkStart w:id="10" w:name="X194c1d41eb4eeecf79384e3bb531ad784e1d9f7"/>
    <w:p>
      <w:pPr>
        <w:pStyle w:val="Heading2"/>
      </w:pPr>
      <w:r>
        <w:t xml:space="preserve">Power Tool &amp; Industrial Equipment Manufacturers / Occupational Safety Consultancies</w:t>
      </w:r>
    </w:p>
    <w:bookmarkStart w:id="9" w:name="X0076f856ee82b1aa192572b909281b775439e93"/>
    <w:p>
      <w:pPr>
        <w:pStyle w:val="Heading3"/>
      </w:pPr>
      <w:r>
        <w:t xml:space="preserve">Carrington Storm Motors | Safe Pod Engineering Company — June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packet compiles all three tailored briefing documents prepared for this</w:t>
      </w:r>
      <w:r>
        <w:t xml:space="preserve"> </w:t>
      </w:r>
      <w:r>
        <w:t xml:space="preserve">sector (CSMEval27), in reading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A</w:t>
      </w:r>
      <w:r>
        <w:t xml:space="preserve"> </w:t>
      </w:r>
      <w:r>
        <w:t xml:space="preserve">— A Standard That’s Barely Older Than This Email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B</w:t>
      </w:r>
      <w:r>
        <w:t xml:space="preserve"> </w:t>
      </w:r>
      <w:r>
        <w:t xml:space="preserve">— Compliance Cost Down, Standard Up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C</w:t>
      </w:r>
      <w:r>
        <w:t xml:space="preserve"> </w:t>
      </w:r>
      <w:r>
        <w:t xml:space="preserve">— Move Fast, Because the Standard Already Did</w:t>
      </w:r>
    </w:p>
    <w:p>
      <w:pPr>
        <w:pStyle w:val="FirstParagraph"/>
      </w:pPr>
      <w:r>
        <w:t xml:space="preserve">All three were produced under the Williams Heuristic Communication Standard</w:t>
      </w:r>
      <w:r>
        <w:t xml:space="preserve"> </w:t>
      </w:r>
      <w:r>
        <w:t xml:space="preserve">(CSMSOPP000001, MODULE-V2) for consistent voice and cadence across the series.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Research &amp; Applied Sciences Office | "Safety Is Not A Metric. It's A Commitment."</w:t>
      </w:r>
    </w:p>
    <w:p>
      <w:pPr>
        <w:pStyle w:val="FirstParagraph"/>
      </w:pPr>
      <w:r>
        <w:t xml:space="preserve">ISO 5349-3:2025 is, as of this writing, a matter of months old. If your</w:t>
      </w:r>
      <w:r>
        <w:t xml:space="preserve"> </w:t>
      </w:r>
      <w:r>
        <w:t xml:space="preserve">vibration-emission declarations and exposure-assessment methodologies</w:t>
      </w:r>
      <w:r>
        <w:t xml:space="preserve"> </w:t>
      </w:r>
      <w:r>
        <w:t xml:space="preserve">haven’t caught up yet, that’s not a failing on your part — it’s just how</w:t>
      </w:r>
      <w:r>
        <w:t xml:space="preserve"> </w:t>
      </w:r>
      <w:r>
        <w:t xml:space="preserve">new the standard actually is. We happen to have already done the reading.</w:t>
      </w:r>
    </w:p>
    <w:p>
      <w:pPr>
        <w:pStyle w:val="SourceCode"/>
      </w:pPr>
      <w:r>
        <w:rPr>
          <w:rStyle w:val="VerbatimChar"/>
        </w:rPr>
        <w:t xml:space="preserve">             A STANDARD THAT'S BARELY OLDER THAN THIS EMAIL</w:t>
      </w:r>
      <w:r>
        <w:br/>
      </w:r>
      <w:r>
        <w:rPr>
          <w:rStyle w:val="VerbatimChar"/>
        </w:rPr>
        <w:t xml:space="preserve">             CSMEval27-A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Summarize the CSMHuman corpus’s synthesis of ISO 5349-3:2025 and related</w:t>
      </w:r>
      <w:r>
        <w:t xml:space="preserve"> </w:t>
      </w:r>
      <w:r>
        <w:t xml:space="preserve">2025-2026 vibration-exposure research.</w:t>
      </w:r>
    </w:p>
    <w:p>
      <w:pPr>
        <w:pStyle w:val="Compact"/>
        <w:numPr>
          <w:ilvl w:val="0"/>
          <w:numId w:val="1002"/>
        </w:numPr>
      </w:pPr>
      <w:r>
        <w:t xml:space="preserve">ISO 5349-3:2025 SHOCK/IMPULSE VIBRATION STANDARD — published December</w:t>
      </w:r>
      <w:r>
        <w:t xml:space="preserve"> </w:t>
      </w:r>
      <w:r>
        <w:t xml:space="preserve">2025, adding a dedicated Vibration Peak Magnitude metric to the existing</w:t>
      </w:r>
      <w:r>
        <w:t xml:space="preserve"> </w:t>
      </w:r>
      <w:r>
        <w:t xml:space="preserve">continuous-exposure ISO 5349-1 framework. Tracked across more than a</w:t>
      </w:r>
      <w:r>
        <w:t xml:space="preserve"> </w:t>
      </w:r>
      <w:r>
        <w:t xml:space="preserve">dozen CSMHuman documents.</w:t>
      </w:r>
    </w:p>
    <w:p>
      <w:pPr>
        <w:pStyle w:val="Compact"/>
        <w:numPr>
          <w:ilvl w:val="0"/>
          <w:numId w:val="1002"/>
        </w:numPr>
      </w:pPr>
      <w:r>
        <w:t xml:space="preserve">LOW-COST WEARABLE HAVS EXPOSURE MONITORING — a 2025 wearable-sensor</w:t>
      </w:r>
      <w:r>
        <w:t xml:space="preserve"> </w:t>
      </w:r>
      <w:r>
        <w:t xml:space="preserve">transfer-function validation method that could materially lower the cost</w:t>
      </w:r>
      <w:r>
        <w:t xml:space="preserve"> </w:t>
      </w:r>
      <w:r>
        <w:t xml:space="preserve">of compliant exposure monitoring.</w:t>
      </w:r>
    </w:p>
    <w:p>
      <w:pPr>
        <w:pStyle w:val="Compact"/>
        <w:numPr>
          <w:ilvl w:val="0"/>
          <w:numId w:val="1002"/>
        </w:numPr>
      </w:pPr>
      <w:r>
        <w:t xml:space="preserve">PIEZO1 MOLECULAR MECHANISM RESEARCH — vibration-induced vascular injury</w:t>
      </w:r>
      <w:r>
        <w:t xml:space="preserve"> </w:t>
      </w:r>
      <w:r>
        <w:t xml:space="preserve">mechanism research, relevant to the biological rationale underlying</w:t>
      </w:r>
      <w:r>
        <w:t xml:space="preserve"> </w:t>
      </w:r>
      <w:r>
        <w:t xml:space="preserve">exposure limits.</w:t>
      </w:r>
    </w:p>
    <w:p>
      <w:pPr>
        <w:pStyle w:val="Compact"/>
        <w:numPr>
          <w:ilvl w:val="0"/>
          <w:numId w:val="1002"/>
        </w:numPr>
      </w:pPr>
      <w:r>
        <w:t xml:space="preserve">DAMPED TOOL/EQUIPMENT INTERFACE DESIGN PRECEDENT — the Aegis Embark</w:t>
      </w:r>
      <w:r>
        <w:t xml:space="preserve"> </w:t>
      </w:r>
      <w:r>
        <w:t xml:space="preserve">vibration-mitigation product line (armrest, pedal, steering wrap;</w:t>
      </w:r>
      <w:r>
        <w:t xml:space="preserve"> </w:t>
      </w:r>
      <w:r>
        <w:t xml:space="preserve">CSMFAB026, 029, 036), relevant as design precedent for PPE and tool-</w:t>
      </w:r>
      <w:r>
        <w:t xml:space="preserve"> </w:t>
      </w:r>
      <w:r>
        <w:t xml:space="preserve">interface manufacturers specifically.</w:t>
      </w:r>
    </w:p>
    <w:p>
      <w:pPr>
        <w:pStyle w:val="FirstParagraph"/>
      </w:pPr>
      <w:r>
        <w:t xml:space="preserve">WHY THE TIMING HERE IS UNUSUALLY NARROW</w:t>
      </w:r>
      <w:r>
        <w:t xml:space="preserve"> </w:t>
      </w:r>
      <w:r>
        <w:t xml:space="preserve">Most of this outreach series has a multi-year or evergreen timeline. This</w:t>
      </w:r>
      <w:r>
        <w:t xml:space="preserve"> </w:t>
      </w:r>
      <w:r>
        <w:t xml:space="preserve">one doesn’t — manufacturers and consultancies are actively updating</w:t>
      </w:r>
      <w:r>
        <w:t xml:space="preserve"> </w:t>
      </w:r>
      <w:r>
        <w:t xml:space="preserve">compliance documentation right now, this quarter, which makes this a</w:t>
      </w:r>
      <w:r>
        <w:t xml:space="preserve"> </w:t>
      </w:r>
      <w:r>
        <w:t xml:space="preserve">genuinely narrow window rather than a standing invitation.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B makes the case for why the wearable-sensor cost reduction matters</w:t>
      </w:r>
      <w:r>
        <w:t xml:space="preserve"> </w:t>
      </w:r>
      <w:r>
        <w:t xml:space="preserve">as much as the standard itself.</w:t>
      </w:r>
    </w:p>
    <w:p>
      <w:pPr>
        <w:pStyle w:val="BodyText"/>
      </w:pPr>
      <w:r>
        <w:t xml:space="preserve">The standard is new. Our synthesis of it doesn’t have to be late.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Risk &amp; Continuity Research Office | "Everyone Goes Home. Every Day."</w:t>
      </w:r>
    </w:p>
    <w:p>
      <w:pPr>
        <w:pStyle w:val="FirstParagraph"/>
      </w:pPr>
      <w:r>
        <w:t xml:space="preserve">Two things happening at once, both worth knowing about together: the</w:t>
      </w:r>
      <w:r>
        <w:t xml:space="preserve"> </w:t>
      </w:r>
      <w:r>
        <w:t xml:space="preserve">measurement standard just got more demanding (ISO 5349-3:2025’s new</w:t>
      </w:r>
      <w:r>
        <w:t xml:space="preserve"> </w:t>
      </w:r>
      <w:r>
        <w:t xml:space="preserve">shock/impulse metric), and a validated wearable-sensor method just made</w:t>
      </w:r>
      <w:r>
        <w:t xml:space="preserve"> </w:t>
      </w:r>
      <w:r>
        <w:t xml:space="preserve">compliant monitoring cheaper. That’s a rare pairing — usually a stricter</w:t>
      </w:r>
      <w:r>
        <w:t xml:space="preserve"> </w:t>
      </w:r>
      <w:r>
        <w:t xml:space="preserve">standard just means a bigger compliance bill.</w:t>
      </w:r>
    </w:p>
    <w:p>
      <w:pPr>
        <w:pStyle w:val="SourceCode"/>
      </w:pPr>
      <w:r>
        <w:rPr>
          <w:rStyle w:val="VerbatimChar"/>
        </w:rPr>
        <w:t xml:space="preserve">             COMPLIANCE COST DOWN, STANDARD UP — A RARE PAIRING</w:t>
      </w:r>
      <w:r>
        <w:br/>
      </w:r>
      <w:r>
        <w:rPr>
          <w:rStyle w:val="VerbatimChar"/>
        </w:rPr>
        <w:t xml:space="preserve">             CSMEval27-B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Explain why the combination of a new, stricter vibration standard and a</w:t>
      </w:r>
      <w:r>
        <w:t xml:space="preserve"> </w:t>
      </w:r>
      <w:r>
        <w:t xml:space="preserve">lower-cost monitoring method creates a genuinely time-sensitive outreach</w:t>
      </w:r>
      <w:r>
        <w:t xml:space="preserve"> </w:t>
      </w:r>
      <w:r>
        <w:t xml:space="preserve">window for this sector.</w:t>
      </w:r>
    </w:p>
    <w:p>
      <w:pPr>
        <w:pStyle w:val="BodyText"/>
      </w:pPr>
      <w:r>
        <w:t xml:space="preserve">KEY FACTS</w:t>
      </w:r>
      <w:r>
        <w:t xml:space="preserve"> </w:t>
      </w:r>
      <w:r>
        <w:t xml:space="preserve">• ISO 5349-3:2025, published December 2025, adds a dedicated shock/impulse</w:t>
      </w:r>
      <w:r>
        <w:t xml:space="preserve"> </w:t>
      </w:r>
      <w:r>
        <w:t xml:space="preserve">vibration measurement standard (Vibration Peak Magnitude metric) to the</w:t>
      </w:r>
      <w:r>
        <w:t xml:space="preserve"> </w:t>
      </w:r>
      <w:r>
        <w:t xml:space="preserve">existing continuous-exposure ISO 5349-1 framework.</w:t>
      </w:r>
      <w:r>
        <w:t xml:space="preserve"> </w:t>
      </w:r>
      <w:r>
        <w:t xml:space="preserve">• Tool manufacturers’ vibration-emission declarations and safety</w:t>
      </w:r>
      <w:r>
        <w:t xml:space="preserve"> </w:t>
      </w:r>
      <w:r>
        <w:t xml:space="preserve">consultancies’ exposure-assessment methodologies both need updating to</w:t>
      </w:r>
      <w:r>
        <w:t xml:space="preserve"> </w:t>
      </w:r>
      <w:r>
        <w:t xml:space="preserve">stay current with the new standard.</w:t>
      </w:r>
      <w:r>
        <w:t xml:space="preserve"> </w:t>
      </w:r>
      <w:r>
        <w:t xml:space="preserve">• A 2025 wearable-sensor validation method exists that could materially</w:t>
      </w:r>
      <w:r>
        <w:t xml:space="preserve"> </w:t>
      </w:r>
      <w:r>
        <w:t xml:space="preserve">lower the cost of compliant exposure monitoring — a rare case of a</w:t>
      </w:r>
      <w:r>
        <w:t xml:space="preserve"> </w:t>
      </w:r>
      <w:r>
        <w:t xml:space="preserve">stricter standard arriving alongside a cost-reduction tool rather than</w:t>
      </w:r>
      <w:r>
        <w:t xml:space="preserve"> </w:t>
      </w:r>
      <w:r>
        <w:t xml:space="preserve">purely a cost increase.</w:t>
      </w:r>
      <w:r>
        <w:t xml:space="preserve"> </w:t>
      </w:r>
      <w:r>
        <w:t xml:space="preserve">• The CSMHuman corpus’s 2026 update cycle has already tracked this exact</w:t>
      </w:r>
      <w:r>
        <w:t xml:space="preserve"> </w:t>
      </w:r>
      <w:r>
        <w:t xml:space="preserve">standards change across more than a dozen documents, plus the underlying</w:t>
      </w:r>
      <w:r>
        <w:t xml:space="preserve"> </w:t>
      </w:r>
      <w:r>
        <w:t xml:space="preserve">Piezo1 molecular-mechanism research explaining the biological rationale.</w:t>
      </w:r>
    </w:p>
    <w:p>
      <w:pPr>
        <w:pStyle w:val="BodyText"/>
      </w:pPr>
      <w:r>
        <w:t xml:space="preserve">RISKS / CONCERNS IF UNADDRESSED</w:t>
      </w:r>
      <w:r>
        <w:t xml:space="preserve"> </w:t>
      </w:r>
      <w:r>
        <w:t xml:space="preserve">• Manufacturers and consultancies that haven’t updated documentation for</w:t>
      </w:r>
      <w:r>
        <w:t xml:space="preserve"> </w:t>
      </w:r>
      <w:r>
        <w:t xml:space="preserve">ISO 5349-3:2025 are, as of this standard’s December 2025 publication,</w:t>
      </w:r>
      <w:r>
        <w:t xml:space="preserve"> </w:t>
      </w:r>
      <w:r>
        <w:t xml:space="preserve">already behind — not eventually behind.</w:t>
      </w:r>
      <w:r>
        <w:t xml:space="preserve"> </w:t>
      </w:r>
      <w:r>
        <w:t xml:space="preserve">• Missing the lower-cost monitoring method means potentially over-paying for</w:t>
      </w:r>
      <w:r>
        <w:t xml:space="preserve"> </w:t>
      </w:r>
      <w:r>
        <w:t xml:space="preserve">compliance relative to what’s now achievable.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C identifies ISO TC 108, NIOSH, and AIHA Connect as the channels</w:t>
      </w:r>
      <w:r>
        <w:t xml:space="preserve"> </w:t>
      </w:r>
      <w:r>
        <w:t xml:space="preserve">best matched to this narrow, time-sensitive window.</w:t>
      </w:r>
    </w:p>
    <w:p>
      <w:pPr>
        <w:pStyle w:val="BodyText"/>
      </w:pPr>
      <w:r>
        <w:t xml:space="preserve">Rare pairing: harder standard, cheaper compliance tool, same email.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Government &amp; Industry Partnerships Office | "Your Safety Is Our Most Animated Concern"</w:t>
      </w:r>
    </w:p>
    <w:p>
      <w:pPr>
        <w:pStyle w:val="FirstParagraph"/>
      </w:pPr>
      <w:r>
        <w:t xml:space="preserve">Everywhere else in this outreach series, we’ve argued for patience or annual</w:t>
      </w:r>
      <w:r>
        <w:t xml:space="preserve"> </w:t>
      </w:r>
      <w:r>
        <w:t xml:space="preserve">cycles. Not here. ISO 5349-3:2025 is already published, which means the</w:t>
      </w:r>
      <w:r>
        <w:t xml:space="preserve"> </w:t>
      </w:r>
      <w:r>
        <w:t xml:space="preserve">clock already started without waiting for this email.</w:t>
      </w:r>
    </w:p>
    <w:p>
      <w:pPr>
        <w:pStyle w:val="SourceCode"/>
      </w:pPr>
      <w:r>
        <w:rPr>
          <w:rStyle w:val="VerbatimChar"/>
        </w:rPr>
        <w:t xml:space="preserve">             MOVE FAST, BECAUSE THE STANDARD ALREADY DID</w:t>
      </w:r>
      <w:r>
        <w:br/>
      </w:r>
      <w:r>
        <w:rPr>
          <w:rStyle w:val="VerbatimChar"/>
        </w:rPr>
        <w:t xml:space="preserve">             CSMEval27-C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Identify the fastest, most direct channels for reaching manufacturers and</w:t>
      </w:r>
      <w:r>
        <w:t xml:space="preserve"> </w:t>
      </w:r>
      <w:r>
        <w:t xml:space="preserve">consultancies during the narrow ISO 5349-3:2025 compliance-update window.</w:t>
      </w:r>
    </w:p>
    <w:p>
      <w:pPr>
        <w:pStyle w:val="BodyText"/>
      </w:pPr>
      <w:r>
        <w:t xml:space="preserve">STANDARDS CHANNEL — ISO TECHNICAL COMMITTEE 108</w:t>
      </w:r>
      <w:r>
        <w:t xml:space="preserve"> </w:t>
      </w:r>
      <w:r>
        <w:t xml:space="preserve">Owns the ISO 5349 series directly; engage via ISO TC 108’s public</w:t>
      </w:r>
      <w:r>
        <w:t xml:space="preserve"> </w:t>
      </w:r>
      <w:r>
        <w:t xml:space="preserve">committee-participation process — the single most authoritative channel for</w:t>
      </w:r>
      <w:r>
        <w:t xml:space="preserve"> </w:t>
      </w:r>
      <w:r>
        <w:t xml:space="preserve">anything touching the standard itself.</w:t>
      </w:r>
    </w:p>
    <w:p>
      <w:pPr>
        <w:pStyle w:val="BodyText"/>
      </w:pPr>
      <w:r>
        <w:t xml:space="preserve">RESEARCH CHANNEL — NIOSH</w:t>
      </w:r>
      <w:r>
        <w:t xml:space="preserve"> </w:t>
      </w:r>
      <w:r>
        <w:t xml:space="preserve">Foundational HAVS research body (NIOSH 83-110); engage via NIOSH’s public</w:t>
      </w:r>
      <w:r>
        <w:t xml:space="preserve"> </w:t>
      </w:r>
      <w:r>
        <w:t xml:space="preserve">research-partnership channel, particularly relevant for the Piezo1</w:t>
      </w:r>
      <w:r>
        <w:t xml:space="preserve"> </w:t>
      </w:r>
      <w:r>
        <w:t xml:space="preserve">molecular-mechanism research.</w:t>
      </w:r>
    </w:p>
    <w:p>
      <w:pPr>
        <w:pStyle w:val="BodyText"/>
      </w:pPr>
      <w:r>
        <w:t xml:space="preserve">FASTEST-REACH CHANNEL — AIHA CONNECT</w:t>
      </w:r>
      <w:r>
        <w:t xml:space="preserve"> </w:t>
      </w:r>
      <w:r>
        <w:t xml:space="preserve">American Industrial Hygiene Association’s annual conference; likely the</w:t>
      </w:r>
      <w:r>
        <w:t xml:space="preserve"> </w:t>
      </w:r>
      <w:r>
        <w:t xml:space="preserve">single fastest way to reach a large number of consultancies and</w:t>
      </w:r>
      <w:r>
        <w:t xml:space="preserve"> </w:t>
      </w:r>
      <w:r>
        <w:t xml:space="preserve">manufacturers’ compliance staff in one place, right now.</w:t>
      </w:r>
    </w:p>
    <w:p>
      <w:pPr>
        <w:pStyle w:val="BodyText"/>
      </w:pPr>
      <w:r>
        <w:t xml:space="preserve">INDUSTRY CHANNEL — POWER TOOL INSTITUTE</w:t>
      </w:r>
      <w:r>
        <w:t xml:space="preserve"> </w:t>
      </w:r>
      <w:r>
        <w:t xml:space="preserve">Engage via its public industry-affairs channel for manufacturer-specific</w:t>
      </w:r>
      <w:r>
        <w:t xml:space="preserve"> </w:t>
      </w:r>
      <w:r>
        <w:t xml:space="preserve">reach.</w:t>
      </w:r>
    </w:p>
    <w:p>
      <w:pPr>
        <w:pStyle w:val="BodyText"/>
      </w:pPr>
      <w:r>
        <w:t xml:space="preserve">SUGGESTED SEQUENCING (COMPRESSED, GIVEN THE NARROW WINDOW)</w:t>
      </w:r>
      <w:r>
        <w:t xml:space="preserve"> </w:t>
      </w:r>
      <w:r>
        <w:t xml:space="preserve">1. AIHA Connect (fastest, broadest reach — prioritize this even if it means</w:t>
      </w:r>
      <w:r>
        <w:t xml:space="preserve"> </w:t>
      </w:r>
      <w:r>
        <w:t xml:space="preserve">deprioritizing the others initially).</w:t>
      </w:r>
      <w:r>
        <w:t xml:space="preserve"> </w:t>
      </w:r>
      <w:r>
        <w:t xml:space="preserve">2. ISO TC 108 engagement in parallel (authoritative-channel credibility).</w:t>
      </w:r>
      <w:r>
        <w:t xml:space="preserve"> </w:t>
      </w:r>
      <w:r>
        <w:t xml:space="preserve">3. NIOSH and Power Tool Institute as immediate follow-ups.</w:t>
      </w:r>
    </w:p>
    <w:p>
      <w:pPr>
        <w:pStyle w:val="BodyText"/>
      </w:pPr>
      <w:r>
        <w:t xml:space="preserve">For once, we’re the ones saying</w:t>
      </w:r>
      <w:r>
        <w:t xml:space="preserve"> </w:t>
      </w:r>
      <w:r>
        <w:t xml:space="preserve">“let’s not wait for the next annual cycle.”</w:t>
      </w:r>
      <w:r>
        <w:t xml:space="preserve"> </w:t>
      </w:r>
      <w:r>
        <w:t xml:space="preserve">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CSMEval27 Compiled Briefing Packet | 3 documents | June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3" w:name="X4ff8a27c2e4e364e104333718220fbc5cce4066"/>
    <w:p>
      <w:pPr>
        <w:pStyle w:val="Heading1"/>
      </w:pPr>
      <w:r>
        <w:t xml:space="preserve">CSMGeneralOutreach — COMPILED COMPENDIUM (Mini)</w:t>
      </w:r>
    </w:p>
    <w:bookmarkStart w:id="12" w:name="Xa30698f00432415fc451300a488d7a19348543b"/>
    <w:p>
      <w:pPr>
        <w:pStyle w:val="Heading2"/>
      </w:pPr>
      <w:r>
        <w:t xml:space="preserve">Carrington Storm Motors | Safe Pod Engineering | June 2026</w:t>
      </w:r>
    </w:p>
    <w:p>
      <w:pPr>
        <w:pStyle w:val="FirstParagraph"/>
      </w:pPr>
      <w:r>
        <w:rPr>
          <w:b/>
          <w:bCs/>
        </w:rPr>
        <w:t xml:space="preserve">P1</w:t>
      </w:r>
      <w:r>
        <w:t xml:space="preserve"> </w:t>
      </w:r>
      <w:r>
        <w:t xml:space="preserve">The Signal From the Sun |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House That Doesn’t Go Dark |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Vehicle Hardened |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Grid Underneath Everything |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When Every Second Counts |</w:t>
      </w:r>
      <w:r>
        <w:t xml:space="preserve"> </w:t>
      </w:r>
      <w:r>
        <w:rPr>
          <w:b/>
          <w:bCs/>
        </w:rPr>
        <w:t xml:space="preserve">P6</w:t>
      </w:r>
      <w:r>
        <w:t xml:space="preserve"> </w:t>
      </w:r>
      <w:r>
        <w:t xml:space="preserve">Ships, Wings, Space |</w:t>
      </w:r>
      <w:r>
        <w:t xml:space="preserve"> </w:t>
      </w:r>
      <w:r>
        <w:rPr>
          <w:b/>
          <w:bCs/>
        </w:rPr>
        <w:t xml:space="preserve">P7</w:t>
      </w:r>
      <w:r>
        <w:t xml:space="preserve"> </w:t>
      </w:r>
      <w:r>
        <w:t xml:space="preserve">Materials Nobody Sees |</w:t>
      </w:r>
      <w:r>
        <w:t xml:space="preserve"> </w:t>
      </w:r>
      <w:r>
        <w:rPr>
          <w:b/>
          <w:bCs/>
        </w:rPr>
        <w:t xml:space="preserve">P8</w:t>
      </w:r>
      <w:r>
        <w:t xml:space="preserve"> </w:t>
      </w:r>
      <w:r>
        <w:t xml:space="preserve">Human Body in the Data |</w:t>
      </w:r>
      <w:r>
        <w:t xml:space="preserve"> </w:t>
      </w:r>
      <w:r>
        <w:rPr>
          <w:b/>
          <w:bCs/>
        </w:rPr>
        <w:t xml:space="preserve">P9</w:t>
      </w:r>
      <w:r>
        <w:t xml:space="preserve"> </w:t>
      </w:r>
      <w:r>
        <w:t xml:space="preserve">Why We Built All of This</w:t>
      </w:r>
    </w:p>
    <w:p>
      <w:pPr>
        <w:pStyle w:val="BodyText"/>
      </w:pPr>
      <w:r>
        <w:t xml:space="preserve">All parts: Williams Heuristic Communication Standard (CSMSOPP000001, MODULE-V2). Designed as companion to 35 CSMEval sector briefing packets.</w:t>
      </w:r>
    </w:p>
    <w:p>
      <w:r>
        <w:pict>
          <v:rect style="width:0;height:1.5pt" o:hralign="center" o:hrstd="t" o:hr="t"/>
        </w:pict>
      </w:r>
    </w:p>
    <w:bookmarkEnd w:id="12"/>
    <w:bookmarkStart w:id="13" w:name="p1-the-signal-from-the-sun"/>
    <w:p>
      <w:pPr>
        <w:pStyle w:val="Heading2"/>
      </w:pPr>
      <w:r>
        <w:t xml:space="preserve">P1 — THE SIGNAL FROM THE SUN</w:t>
      </w:r>
    </w:p>
    <w:p>
      <w:pPr>
        <w:pStyle w:val="FirstParagraph"/>
      </w:pPr>
      <w:r>
        <w:rPr>
          <w:b/>
          <w:bCs/>
        </w:rPr>
        <w:t xml:space="preserve">1. September 1859:</w:t>
      </w:r>
      <w:r>
        <w:t xml:space="preserve"> </w:t>
      </w:r>
      <w:r>
        <w:t xml:space="preserve">Carrington observed white-light flare. 17.6hr transit (still record). G5 storm hit Earth. Telegraph offices failed globally — some caught fire, operators shocked. Auroras visible in tropics. In 1859, most advanced tech was telegraph. Today it would reach every grid, vehicle, hospital generator, financial system, water plant.</w:t>
      </w:r>
    </w:p>
    <w:p>
      <w:pPr>
        <w:pStyle w:val="BodyText"/>
      </w:pPr>
      <w:r>
        <w:rPr>
          <w:b/>
          <w:bCs/>
        </w:rPr>
        <w:t xml:space="preserve">2. Solar Cycle 25:</w:t>
      </w:r>
      <w:r>
        <w:t xml:space="preserve"> </w:t>
      </w:r>
      <w:r>
        <w:t xml:space="preserve">2019 forecast: SSN ~115. NOAA SWPC Q1 2026 confirmed: ~137. 19% upward revision. We are at or near solar maximum right now.</w:t>
      </w:r>
    </w:p>
    <w:p>
      <w:pPr>
        <w:pStyle w:val="BodyText"/>
      </w:pPr>
      <w:r>
        <w:rPr>
          <w:b/>
          <w:bCs/>
        </w:rPr>
        <w:t xml:space="preserve">3. May 2024 Gannon Storm:</w:t>
      </w:r>
      <w:r>
        <w:t xml:space="preserve"> </w:t>
      </w:r>
      <w:r>
        <w:t xml:space="preserve">G5/Kp9, strongest since 2003. Grid held (NERC protocols). $500-565M U.S. agricultural losses from GPS/GNSS disruption. Measurable transformer stress across North America. Not a scenario — a receipt.</w:t>
      </w:r>
    </w:p>
    <w:p>
      <w:pPr>
        <w:pStyle w:val="BodyText"/>
      </w:pPr>
      <w:r>
        <w:rPr>
          <w:b/>
          <w:bCs/>
        </w:rPr>
        <w:t xml:space="preserve">4. Worse-case cost:</w:t>
      </w:r>
      <w:r>
        <w:t xml:space="preserve"> </w:t>
      </w:r>
      <w:r>
        <w:t xml:space="preserve">Lloyd’s modeled $2.4T global over 5 years. N. American Carrington scenario: $0.6-2.6T. Transformer replacement lead times: up to 12 months. Insurance brokers on alert January 2026 after G4 watch.</w:t>
      </w:r>
    </w:p>
    <w:p>
      <w:r>
        <w:pict>
          <v:rect style="width:0;height:1.5pt" o:hralign="center" o:hrstd="t" o:hr="t"/>
        </w:pict>
      </w:r>
    </w:p>
    <w:bookmarkEnd w:id="13"/>
    <w:bookmarkStart w:id="14" w:name="p2-the-house-that-doesnt-go-dark"/>
    <w:p>
      <w:pPr>
        <w:pStyle w:val="Heading2"/>
      </w:pPr>
      <w:r>
        <w:t xml:space="preserve">P2 — THE HOUSE THAT DOESN’T GO DARK</w:t>
      </w:r>
    </w:p>
    <w:p>
      <w:pPr>
        <w:pStyle w:val="FirstParagraph"/>
      </w:pPr>
      <w:r>
        <w:rPr>
          <w:b/>
          <w:bCs/>
        </w:rPr>
        <w:t xml:space="preserve">1. Stellar-Chill:</w:t>
      </w:r>
      <w:r>
        <w:t xml:space="preserve"> </w:t>
      </w:r>
      <w:r>
        <w:t xml:space="preserve">Electrocaloric cooling instead of compressor — no large motor, no refrigerant loop needing continuous grid power.</w:t>
      </w:r>
    </w:p>
    <w:p>
      <w:pPr>
        <w:pStyle w:val="BodyText"/>
      </w:pPr>
      <w:r>
        <w:rPr>
          <w:b/>
          <w:bCs/>
        </w:rPr>
        <w:t xml:space="preserve">2. Safe-Wave:</w:t>
      </w:r>
      <w:r>
        <w:t xml:space="preserve"> </w:t>
      </w:r>
      <w:r>
        <w:t xml:space="preserve">Solid-state GaN microwave — smaller, efficient, less vulnerable to induced-current damage than magnetron tube.</w:t>
      </w:r>
    </w:p>
    <w:p>
      <w:pPr>
        <w:pStyle w:val="BodyText"/>
      </w:pPr>
      <w:r>
        <w:rPr>
          <w:b/>
          <w:bCs/>
        </w:rPr>
        <w:t xml:space="preserve">3. Stone-Bake / Ancient Hearth:</w:t>
      </w:r>
      <w:r>
        <w:t xml:space="preserve"> </w:t>
      </w:r>
      <w:r>
        <w:t xml:space="preserve">Radiant ceramic heat, controlled combustion in modern form factor — cooking that never needed electricity.</w:t>
      </w:r>
    </w:p>
    <w:p>
      <w:pPr>
        <w:pStyle w:val="BodyText"/>
      </w:pPr>
      <w:r>
        <w:rPr>
          <w:b/>
          <w:bCs/>
        </w:rPr>
        <w:t xml:space="preserve">4. Hot water:</w:t>
      </w:r>
      <w:r>
        <w:t xml:space="preserve"> </w:t>
      </w:r>
      <w:r>
        <w:t xml:space="preserve">Chemically-bonded phosphate ceramic water heater, inflatable, heats without grid.</w:t>
      </w:r>
    </w:p>
    <w:p>
      <w:pPr>
        <w:pStyle w:val="BodyText"/>
      </w:pPr>
      <w:r>
        <w:rPr>
          <w:b/>
          <w:bCs/>
        </w:rPr>
        <w:t xml:space="preserve">5. Building itself:</w:t>
      </w:r>
      <w:r>
        <w:t xml:space="preserve"> </w:t>
      </w:r>
      <w:r>
        <w:t xml:space="preserve">BFRP rebar (no steel), dielectric geopolymer concrete, non-conductive wiring/plumbing, passive Chromatic Field Monitor for household-level EME early warning.</w:t>
      </w:r>
    </w:p>
    <w:p>
      <w:r>
        <w:pict>
          <v:rect style="width:0;height:1.5pt" o:hralign="center" o:hrstd="t" o:hr="t"/>
        </w:pict>
      </w:r>
    </w:p>
    <w:bookmarkEnd w:id="14"/>
    <w:bookmarkStart w:id="15" w:name="X6493a1949696d6b208df3a3b48ddf9ddaa2d316"/>
    <w:p>
      <w:pPr>
        <w:pStyle w:val="Heading2"/>
      </w:pPr>
      <w:r>
        <w:t xml:space="preserve">P3 — THE VEHICLE YOU ALREADY TRUST, HARDENED</w:t>
      </w:r>
    </w:p>
    <w:p>
      <w:pPr>
        <w:pStyle w:val="FirstParagraph"/>
      </w:pPr>
      <w:r>
        <w:rPr>
          <w:b/>
          <w:bCs/>
        </w:rPr>
        <w:t xml:space="preserve">1. Feet and hands:</w:t>
      </w:r>
      <w:r>
        <w:t xml:space="preserve"> </w:t>
      </w:r>
      <w:r>
        <w:t xml:space="preserve">Grounding-Sole and Vibra-Volt pedal covers reduce foot vibration. Neural-Grip steering wrap for hands. Backed by CSMHuman vibration research.</w:t>
      </w:r>
    </w:p>
    <w:p>
      <w:pPr>
        <w:pStyle w:val="BodyText"/>
      </w:pPr>
      <w:r>
        <w:rPr>
          <w:b/>
          <w:bCs/>
        </w:rPr>
        <w:t xml:space="preserve">2. Seat and neck:</w:t>
      </w:r>
      <w:r>
        <w:t xml:space="preserve"> </w:t>
      </w:r>
      <w:r>
        <w:t xml:space="preserve">Cervical-Guard and Mag-Float diamagnetic seat rail — whole-body and cervical vibration protection.</w:t>
      </w:r>
    </w:p>
    <w:p>
      <w:pPr>
        <w:pStyle w:val="BodyText"/>
      </w:pPr>
      <w:r>
        <w:rPr>
          <w:b/>
          <w:bCs/>
        </w:rPr>
        <w:t xml:space="preserve">3. Cabin:</w:t>
      </w:r>
      <w:r>
        <w:t xml:space="preserve"> </w:t>
      </w:r>
      <w:r>
        <w:t xml:space="preserve">Silence-Block door inserts, Stellar-Tint window film — cabin EMI and acoustic noise (especially relevant for EVs).</w:t>
      </w:r>
    </w:p>
    <w:p>
      <w:pPr>
        <w:pStyle w:val="BodyText"/>
      </w:pPr>
      <w:r>
        <w:rPr>
          <w:b/>
          <w:bCs/>
        </w:rPr>
        <w:t xml:space="preserve">4. Post-GPS navigation:</w:t>
      </w:r>
      <w:r>
        <w:t xml:space="preserve"> </w:t>
      </w:r>
      <w:r>
        <w:t xml:space="preserve">Way-Finder haptic insoles — piezoelectric energy-harvesting + LoRa mesh positioning.</w:t>
      </w:r>
    </w:p>
    <w:p>
      <w:pPr>
        <w:pStyle w:val="BodyText"/>
      </w:pPr>
      <w:r>
        <w:rPr>
          <w:b/>
          <w:bCs/>
        </w:rPr>
        <w:t xml:space="preserve">5. Child seat:</w:t>
      </w:r>
      <w:r>
        <w:t xml:space="preserve"> </w:t>
      </w:r>
      <w:r>
        <w:t xml:space="preserve">Cloud-Nest aerogel base — thermal and vibration protection.</w:t>
      </w:r>
    </w:p>
    <w:p>
      <w:r>
        <w:pict>
          <v:rect style="width:0;height:1.5pt" o:hralign="center" o:hrstd="t" o:hr="t"/>
        </w:pict>
      </w:r>
    </w:p>
    <w:bookmarkEnd w:id="15"/>
    <w:bookmarkStart w:id="16" w:name="p4-the-grid-underneath-everything"/>
    <w:p>
      <w:pPr>
        <w:pStyle w:val="Heading2"/>
      </w:pPr>
      <w:r>
        <w:t xml:space="preserve">P4 — THE GRID UNDERNEATH EVERYTHING</w:t>
      </w:r>
    </w:p>
    <w:p>
      <w:pPr>
        <w:pStyle w:val="FirstParagraph"/>
      </w:pPr>
      <w:r>
        <w:rPr>
          <w:b/>
          <w:bCs/>
        </w:rPr>
        <w:t xml:space="preserve">1. Electric grid:</w:t>
      </w:r>
      <w:r>
        <w:t xml:space="preserve"> </w:t>
      </w:r>
      <w:r>
        <w:t xml:space="preserve">Composite non-metallic transmission structures, dielectric substation fencing, low-cost passive field monitor.</w:t>
      </w:r>
    </w:p>
    <w:p>
      <w:pPr>
        <w:pStyle w:val="BodyText"/>
      </w:pPr>
      <w:r>
        <w:rPr>
          <w:b/>
          <w:bCs/>
        </w:rPr>
        <w:t xml:space="preserve">2. Bridges:</w:t>
      </w:r>
      <w:r>
        <w:t xml:space="preserve"> </w:t>
      </w:r>
      <w:r>
        <w:t xml:space="preserve">Audit methodology applied to 4 metro areas — steel girders/cables concentrate storm current like transmission lines.</w:t>
      </w:r>
    </w:p>
    <w:p>
      <w:pPr>
        <w:pStyle w:val="BodyText"/>
      </w:pPr>
      <w:r>
        <w:rPr>
          <w:b/>
          <w:bCs/>
        </w:rPr>
        <w:t xml:space="preserve">3. Pipelines:</w:t>
      </w:r>
      <w:r>
        <w:t xml:space="preserve"> </w:t>
      </w:r>
      <w:r>
        <w:t xml:space="preserve">Steel pipelines experience storm-driven corrosion at cathodic-protection joints. GFRP pipe alternative removes steel pathway.</w:t>
      </w:r>
    </w:p>
    <w:p>
      <w:pPr>
        <w:pStyle w:val="BodyText"/>
      </w:pPr>
      <w:r>
        <w:rPr>
          <w:b/>
          <w:bCs/>
        </w:rPr>
        <w:t xml:space="preserve">4. Water systems:</w:t>
      </w:r>
      <w:r>
        <w:t xml:space="preserve"> </w:t>
      </w:r>
      <w:r>
        <w:t xml:space="preserve">Treatment depends on grid power. Buried metal pipes carry storm-current exposure. No mandatory storm-hardening standard exists — being early still matters.</w:t>
      </w:r>
    </w:p>
    <w:p>
      <w:pPr>
        <w:pStyle w:val="BodyText"/>
      </w:pPr>
      <w:r>
        <w:rPr>
          <w:b/>
          <w:bCs/>
        </w:rPr>
        <w:t xml:space="preserve">5. Rail:</w:t>
      </w:r>
      <w:r>
        <w:t xml:space="preserve"> </w:t>
      </w:r>
      <w:r>
        <w:t xml:space="preserve">Continuous-welded rail and catenary wires = long-conductor geometry. Signaling failure is real-time safety question.</w:t>
      </w:r>
    </w:p>
    <w:p>
      <w:r>
        <w:pict>
          <v:rect style="width:0;height:1.5pt" o:hralign="center" o:hrstd="t" o:hr="t"/>
        </w:pict>
      </w:r>
    </w:p>
    <w:bookmarkEnd w:id="16"/>
    <w:bookmarkStart w:id="17" w:name="p5-when-every-second-counts"/>
    <w:p>
      <w:pPr>
        <w:pStyle w:val="Heading2"/>
      </w:pPr>
      <w:r>
        <w:t xml:space="preserve">P5 — WHEN EVERY SECOND COUNTS</w:t>
      </w:r>
    </w:p>
    <w:p>
      <w:pPr>
        <w:pStyle w:val="FirstParagraph"/>
      </w:pPr>
      <w:r>
        <w:rPr>
          <w:b/>
          <w:bCs/>
        </w:rPr>
        <w:t xml:space="preserve">1. Timeline:</w:t>
      </w:r>
      <w:r>
        <w:t xml:space="preserve"> </w:t>
      </w:r>
      <w:r>
        <w:t xml:space="preserve">Traffic signals fail T+15min, cell towers T+45min, major bridges T+8hrs. Most evac planning assumes far longer.</w:t>
      </w:r>
    </w:p>
    <w:p>
      <w:pPr>
        <w:pStyle w:val="BodyText"/>
      </w:pPr>
      <w:r>
        <w:rPr>
          <w:b/>
          <w:bCs/>
        </w:rPr>
        <w:t xml:space="preserve">2. Warning:</w:t>
      </w:r>
      <w:r>
        <w:t xml:space="preserve"> </w:t>
      </w:r>
      <w:r>
        <w:t xml:space="preserve">Schumann Resonance monitoring: 4-6hr pre-impact warning (vs. current 15-45min).</w:t>
      </w:r>
    </w:p>
    <w:p>
      <w:pPr>
        <w:pStyle w:val="BodyText"/>
      </w:pPr>
      <w:r>
        <w:rPr>
          <w:b/>
          <w:bCs/>
        </w:rPr>
        <w:t xml:space="preserve">3. High-rise evac:</w:t>
      </w:r>
      <w:r>
        <w:t xml:space="preserve"> </w:t>
      </w:r>
      <w:r>
        <w:t xml:space="preserve">Aegis-Ascension drone backpack — 250kg capacity, non-conductive airframe, no GPS dependency.</w:t>
      </w:r>
    </w:p>
    <w:p>
      <w:pPr>
        <w:pStyle w:val="BodyText"/>
      </w:pPr>
      <w:r>
        <w:rPr>
          <w:b/>
          <w:bCs/>
        </w:rPr>
        <w:t xml:space="preserve">4. Shelter:</w:t>
      </w:r>
      <w:r>
        <w:t xml:space="preserve"> </w:t>
      </w:r>
      <w:r>
        <w:t xml:space="preserve">Shipping-container emergency shelter — fully non-conductive shell (steel container = large antenna during storm).</w:t>
      </w:r>
    </w:p>
    <w:p>
      <w:pPr>
        <w:pStyle w:val="BodyText"/>
      </w:pPr>
      <w:r>
        <w:rPr>
          <w:b/>
          <w:bCs/>
        </w:rPr>
        <w:t xml:space="preserve">5. Communications:</w:t>
      </w:r>
      <w:r>
        <w:t xml:space="preserve"> </w:t>
      </w:r>
      <w:r>
        <w:t xml:space="preserve">256-node LoRa mesh, solar-charged, self-organizing, 30-day autonomous operation, no central hub or GPS.</w:t>
      </w:r>
    </w:p>
    <w:p>
      <w:r>
        <w:pict>
          <v:rect style="width:0;height:1.5pt" o:hralign="center" o:hrstd="t" o:hr="t"/>
        </w:pict>
      </w:r>
    </w:p>
    <w:bookmarkEnd w:id="17"/>
    <w:bookmarkStart w:id="18" w:name="p6-ships-wings-and-the-space-beyond"/>
    <w:p>
      <w:pPr>
        <w:pStyle w:val="Heading2"/>
      </w:pPr>
      <w:r>
        <w:t xml:space="preserve">P6 — SHIPS, WINGS, AND THE SPACE BEYOND</w:t>
      </w:r>
    </w:p>
    <w:p>
      <w:pPr>
        <w:pStyle w:val="FirstParagraph"/>
      </w:pPr>
      <w:r>
        <w:rPr>
          <w:b/>
          <w:bCs/>
        </w:rPr>
        <w:t xml:space="preserve">1. At sea:</w:t>
      </w:r>
      <w:r>
        <w:t xml:space="preserve"> </w:t>
      </w:r>
      <w:r>
        <w:t xml:space="preserve">Fleet-wide resilience retrofit (real cruise line case study) — hull, cabins, propulsion. Charlemagne Class: amphibious biomimetic hulls.</w:t>
      </w:r>
    </w:p>
    <w:p>
      <w:pPr>
        <w:pStyle w:val="BodyText"/>
      </w:pPr>
      <w:r>
        <w:rPr>
          <w:b/>
          <w:bCs/>
        </w:rPr>
        <w:t xml:space="preserve">2. In the air:</w:t>
      </w:r>
      <w:r>
        <w:t xml:space="preserve"> </w:t>
      </w:r>
      <w:r>
        <w:t xml:space="preserve">A-10 Thunderbolt II redesign in non-inductive composites — fully worked feasibility study, dual-use (natural EME + directed energy).</w:t>
      </w:r>
    </w:p>
    <w:p>
      <w:pPr>
        <w:pStyle w:val="BodyText"/>
      </w:pPr>
      <w:r>
        <w:rPr>
          <w:b/>
          <w:bCs/>
        </w:rPr>
        <w:t xml:space="preserve">3. Humanoid robots:</w:t>
      </w:r>
      <w:r>
        <w:t xml:space="preserve"> </w:t>
      </w:r>
      <w:r>
        <w:t xml:space="preserve">EME hardening case studies (legacy platform + Mars colonization). Distinctive anti-capture security architecture.</w:t>
      </w:r>
    </w:p>
    <w:p>
      <w:pPr>
        <w:pStyle w:val="BodyText"/>
      </w:pPr>
      <w:r>
        <w:rPr>
          <w:b/>
          <w:bCs/>
        </w:rPr>
        <w:t xml:space="preserve">4. In orbit:</w:t>
      </w:r>
      <w:r>
        <w:t xml:space="preserve"> </w:t>
      </w:r>
      <w:r>
        <w:t xml:space="preserve">Smart Rope launch-assist actuator, underwater/orbital kinetic launch concept — early-stage, honestly labeled.</w:t>
      </w:r>
    </w:p>
    <w:p>
      <w:pPr>
        <w:pStyle w:val="BodyText"/>
      </w:pPr>
      <w:r>
        <w:rPr>
          <w:b/>
          <w:bCs/>
        </w:rPr>
        <w:t xml:space="preserve">5. Uncrewed:</w:t>
      </w:r>
      <w:r>
        <w:t xml:space="preserve"> </w:t>
      </w:r>
      <w:r>
        <w:t xml:space="preserve">Wind-energy drone, wearable evac drone, sub-250g university research platform.</w:t>
      </w:r>
    </w:p>
    <w:p>
      <w:r>
        <w:pict>
          <v:rect style="width:0;height:1.5pt" o:hralign="center" o:hrstd="t" o:hr="t"/>
        </w:pict>
      </w:r>
    </w:p>
    <w:bookmarkEnd w:id="18"/>
    <w:bookmarkStart w:id="19" w:name="p7-the-materials-nobody-sees"/>
    <w:p>
      <w:pPr>
        <w:pStyle w:val="Heading2"/>
      </w:pPr>
      <w:r>
        <w:t xml:space="preserve">P7 — THE MATERIALS NOBODY SEES</w:t>
      </w:r>
    </w:p>
    <w:p>
      <w:pPr>
        <w:pStyle w:val="FirstParagraph"/>
      </w:pPr>
      <w:r>
        <w:rPr>
          <w:b/>
          <w:bCs/>
        </w:rPr>
        <w:t xml:space="preserve">1. Ceramics and fabrics:</w:t>
      </w:r>
      <w:r>
        <w:t xml:space="preserve"> </w:t>
      </w:r>
      <w:r>
        <w:t xml:space="preserve">UHTC and basalt-fiber composites. Real commercial supply chains exist (basalt fiber, geopolymer concrete).</w:t>
      </w:r>
    </w:p>
    <w:p>
      <w:pPr>
        <w:pStyle w:val="BodyText"/>
      </w:pPr>
      <w:r>
        <w:rPr>
          <w:b/>
          <w:bCs/>
        </w:rPr>
        <w:t xml:space="preserve">2. EMI coating:</w:t>
      </w:r>
      <w:r>
        <w:t xml:space="preserve"> </w:t>
      </w:r>
      <w:r>
        <w:t xml:space="preserve">MXene-based shielding — 90+ dB effectiveness on ordinary structures.</w:t>
      </w:r>
    </w:p>
    <w:p>
      <w:pPr>
        <w:pStyle w:val="BodyText"/>
      </w:pPr>
      <w:r>
        <w:rPr>
          <w:b/>
          <w:bCs/>
        </w:rPr>
        <w:t xml:space="preserve">3. Magnets:</w:t>
      </w:r>
      <w:r>
        <w:t xml:space="preserve"> </w:t>
      </w:r>
      <w:r>
        <w:t xml:space="preserve">Iron-nitride rare-earth-free magnets — alternative to China’s ~90% global production. Active federal tax credits, real facilities breaking ground.</w:t>
      </w:r>
    </w:p>
    <w:p>
      <w:pPr>
        <w:pStyle w:val="BodyText"/>
      </w:pPr>
      <w:r>
        <w:rPr>
          <w:b/>
          <w:bCs/>
        </w:rPr>
        <w:t xml:space="preserve">4. Aegis-Forge:</w:t>
      </w:r>
      <w:r>
        <w:t xml:space="preserve"> </w:t>
      </w:r>
      <w:r>
        <w:t xml:space="preserve">Thermal-cascade inductive separator recovers indium, yttrium, cobalt, titanium from end-of-life. 15-30% lifecycle cost recovery.</w:t>
      </w:r>
    </w:p>
    <w:p>
      <w:r>
        <w:pict>
          <v:rect style="width:0;height:1.5pt" o:hralign="center" o:hrstd="t" o:hr="t"/>
        </w:pict>
      </w:r>
    </w:p>
    <w:bookmarkEnd w:id="19"/>
    <w:bookmarkStart w:id="20" w:name="p8-the-human-body-in-the-data"/>
    <w:p>
      <w:pPr>
        <w:pStyle w:val="Heading2"/>
      </w:pPr>
      <w:r>
        <w:t xml:space="preserve">P8 — THE HUMAN BODY IN THE DATA</w:t>
      </w:r>
    </w:p>
    <w:p>
      <w:pPr>
        <w:pStyle w:val="FirstParagraph"/>
      </w:pPr>
      <w:r>
        <w:rPr>
          <w:b/>
          <w:bCs/>
        </w:rPr>
        <w:t xml:space="preserve">1. Vibration standard:</w:t>
      </w:r>
      <w:r>
        <w:t xml:space="preserve"> </w:t>
      </w:r>
      <w:r>
        <w:t xml:space="preserve">ISO 5349 (updated Dec 2025 with shock/impulse metric). Lower-cost wearable sensor validated for exposure monitoring.</w:t>
      </w:r>
    </w:p>
    <w:p>
      <w:pPr>
        <w:pStyle w:val="BodyText"/>
      </w:pPr>
      <w:r>
        <w:rPr>
          <w:b/>
          <w:bCs/>
        </w:rPr>
        <w:t xml:space="preserve">2. Molecular mechanism:</w:t>
      </w:r>
      <w:r>
        <w:t xml:space="preserve"> </w:t>
      </w:r>
      <w:r>
        <w:t xml:space="preserve">Piezo1 (mechanosensitive protein) explains at cellular level why sustained vibration damages blood vessels.</w:t>
      </w:r>
    </w:p>
    <w:p>
      <w:pPr>
        <w:pStyle w:val="BodyText"/>
      </w:pPr>
      <w:r>
        <w:rPr>
          <w:b/>
          <w:bCs/>
        </w:rPr>
        <w:t xml:space="preserve">3. Defibrillation:</w:t>
      </w:r>
      <w:r>
        <w:t xml:space="preserve"> </w:t>
      </w:r>
      <w:r>
        <w:t xml:space="preserve">DSED and Vector-Change approaches for refractory VF — active clinical evidence base.</w:t>
      </w:r>
    </w:p>
    <w:p>
      <w:pPr>
        <w:pStyle w:val="BodyText"/>
      </w:pPr>
      <w:r>
        <w:rPr>
          <w:b/>
          <w:bCs/>
        </w:rPr>
        <w:t xml:space="preserve">4. Acoustic diagnostics:</w:t>
      </w:r>
      <w:r>
        <w:t xml:space="preserve"> </w:t>
      </w:r>
      <w:r>
        <w:t xml:space="preserve">Ultrasonic Doppler vibrometry for coronary artery disease.</w:t>
      </w:r>
    </w:p>
    <w:p>
      <w:pPr>
        <w:pStyle w:val="BodyText"/>
      </w:pPr>
      <w:r>
        <w:rPr>
          <w:b/>
          <w:bCs/>
        </w:rPr>
        <w:t xml:space="preserve">5. Why hardware company did this:</w:t>
      </w:r>
      <w:r>
        <w:t xml:space="preserve"> </w:t>
      </w:r>
      <w:r>
        <w:t xml:space="preserve">Every product contacts a human body. Biomechanical homework came first.</w:t>
      </w:r>
    </w:p>
    <w:p>
      <w:r>
        <w:pict>
          <v:rect style="width:0;height:1.5pt" o:hralign="center" o:hrstd="t" o:hr="t"/>
        </w:pict>
      </w:r>
    </w:p>
    <w:bookmarkEnd w:id="20"/>
    <w:bookmarkStart w:id="21" w:name="p9-why-we-built-all-of-this"/>
    <w:p>
      <w:pPr>
        <w:pStyle w:val="Heading2"/>
      </w:pPr>
      <w:r>
        <w:t xml:space="preserve">P9 — WHY WE BUILT ALL OF THIS</w:t>
      </w:r>
    </w:p>
    <w:p>
      <w:pPr>
        <w:pStyle w:val="FirstParagraph"/>
      </w:pPr>
      <w:r>
        <w:rPr>
          <w:b/>
          <w:bCs/>
        </w:rPr>
        <w:t xml:space="preserve">The Honest Business Case:</w:t>
      </w:r>
      <w:r>
        <w:t xml:space="preserve"> </w:t>
      </w:r>
      <w:r>
        <w:t xml:space="preserve">Hazard is real, well-documented, under-addressed relative to insurance pricing (Lloyd’s: $2.4T global, $0.6-2.6T N. American). Building hardware, materials, and protocols is both a genuine engineering opportunity and the right thing to be doing in 2026 at this solar cycle peak.</w:t>
      </w:r>
    </w:p>
    <w:p>
      <w:pPr>
        <w:pStyle w:val="BodyText"/>
      </w:pPr>
      <w:r>
        <w:rPr>
          <w:b/>
          <w:bCs/>
        </w:rPr>
        <w:t xml:space="preserve">How to Reach Us:</w:t>
      </w:r>
      <w:r>
        <w:t xml:space="preserve"> </w:t>
      </w:r>
      <w:r>
        <w:t xml:space="preserve">Reply identifying which part (1-8) is relevant. If you received a tailored sector briefing, follow its specific next steps. Researchers, journalists, skeptics: tell us what we got wrong — Data Sacred principle means we’d rather be corrected now than quoted inaccurately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Mini Compendium | 9 parts compressed from full CSMGeneralOutreach series | June 2026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links-contact"/>
    <w:p>
      <w:pPr>
        <w:pStyle w:val="Heading2"/>
      </w:pPr>
      <w:r>
        <w:t xml:space="preserve">Links &amp; Contact</w:t>
      </w:r>
    </w:p>
    <w:p>
      <w:pPr>
        <w:pStyle w:val="FirstParagraph"/>
      </w:pPr>
      <w:r>
        <w:rPr>
          <w:b/>
          <w:bCs/>
        </w:rPr>
        <w:t xml:space="preserve">Compendium:</w:t>
      </w:r>
      <w:r>
        <w:t xml:space="preserve"> </w:t>
      </w:r>
      <w:r>
        <w:t xml:space="preserve">https://github.com/ZirconiaAegisC/CarrPod/blob/main/CSMGeneralOutreach/CSMGeneralOutreach-COMPILED-Compendium.md</w:t>
      </w:r>
    </w:p>
    <w:p>
      <w:pPr>
        <w:pStyle w:val="BodyText"/>
      </w:pPr>
      <w:r>
        <w:rPr>
          <w:b/>
          <w:bCs/>
        </w:rPr>
        <w:t xml:space="preserve">Web:</w:t>
      </w:r>
      <w:r>
        <w:t xml:space="preserve"> </w:t>
      </w:r>
      <w:r>
        <w:t xml:space="preserve">www.CarrPod.Net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Zirconia@AegisC.Space | JasonBrodsky@Hotmail.com</w:t>
      </w:r>
    </w:p>
    <w:p>
      <w:pPr>
        <w:pStyle w:val="BodyText"/>
      </w:pPr>
      <w:r>
        <w:t xml:space="preserve">— Carrington Storm Motors | Safe Pod Engineering Company</w:t>
      </w:r>
      <w:r>
        <w:t xml:space="preserve"> </w:t>
      </w:r>
      <w:r>
        <w:rPr>
          <w:i/>
          <w:iCs/>
        </w:rPr>
        <w:t xml:space="preserve">CSMEval27 | June 2026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CSMEval27 Combined Email Body</dc:title>
  <dc:creator/>
  <cp:keywords/>
  <dcterms:created xsi:type="dcterms:W3CDTF">2026-07-03T03:30:41Z</dcterms:created>
  <dcterms:modified xsi:type="dcterms:W3CDTF">2026-07-03T03:30:41Z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</Properties>
</file>