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CSMEval01 Combined Email Body</w:t>
      </w:r>
    </w:p>
    <w:p>
      <w:pPr>
        <w:pStyle w:val="Date"/>
      </w:pPr>
      <w:r>
        <w:t xml:space="preserve">2026-06-01</w:t>
      </w:r>
    </w:p>
    <w:p>
      <w:pPr>
        <w:pStyle w:val="FirstParagraph"/>
      </w:pPr>
      <w:r>
        <w:t xml:space="preserve">I’ll keep this short, because I know what your inbox looks like on a</w:t>
      </w:r>
      <w:r>
        <w:t xml:space="preserve"> </w:t>
      </w:r>
      <w:r>
        <w:t xml:space="preserve">Tuesday, and it looks like mine. One paragraph, one attachment, one ask</w:t>
      </w:r>
      <w:r>
        <w:t xml:space="preserve"> </w:t>
      </w:r>
      <w:r>
        <w:t xml:space="preserve">that costs you nothing but four minutes.</w:t>
      </w:r>
    </w:p>
    <w:p>
      <w:pPr>
        <w:pStyle w:val="BodyText"/>
      </w:pPr>
      <w:r>
        <w:t xml:space="preserve">Solar Cycle 25’s confirmed peak sunspot number (SSN ~137, per NOAA SWPC’s Q1</w:t>
      </w:r>
      <w:r>
        <w:t xml:space="preserve"> </w:t>
      </w:r>
      <w:r>
        <w:t xml:space="preserve">2026 progression report) is running about 19% above the forecast most current</w:t>
      </w:r>
      <w:r>
        <w:t xml:space="preserve"> </w:t>
      </w:r>
      <w:r>
        <w:t xml:space="preserve">Hazard Mitigation Plans were built against. I’ve attached a three-part briefing</w:t>
      </w:r>
      <w:r>
        <w:t xml:space="preserve"> </w:t>
      </w:r>
      <w:r>
        <w:t xml:space="preserve">packet from Carrington Storm Motors’ research and engineering group covering:</w:t>
      </w:r>
      <w:r>
        <w:t xml:space="preserve"> </w:t>
      </w:r>
      <w:r>
        <w:t xml:space="preserve">what that revision means for your evacuation-timing assumptions, a grid-down</w:t>
      </w:r>
      <w:r>
        <w:t xml:space="preserve"> </w:t>
      </w:r>
      <w:r>
        <w:t xml:space="preserve">extraction/shelter hardware reference, and three ways to fold updated hazard</w:t>
      </w:r>
      <w:r>
        <w:t xml:space="preserve"> </w:t>
      </w:r>
      <w:r>
        <w:t xml:space="preserve">data into a mitigation-plan cycle you’re already running (HMP revision, BRIC</w:t>
      </w:r>
      <w:r>
        <w:t xml:space="preserve"> </w:t>
      </w:r>
      <w:r>
        <w:t xml:space="preserve">grant scoping, or EMAC depot planning).</w:t>
      </w:r>
    </w:p>
    <w:p>
      <w:pPr>
        <w:pStyle w:val="BodyText"/>
      </w:pPr>
      <w:r>
        <w:t xml:space="preserve">No ask beyond a read. If it’s useful ahead of your next plan revision, I’d</w:t>
      </w:r>
      <w:r>
        <w:t xml:space="preserve"> </w:t>
      </w:r>
      <w:r>
        <w:t xml:space="preserve">welcome a short call with your hazard mitigation planning lead.</w:t>
      </w:r>
    </w:p>
    <w:p>
      <w:pPr>
        <w:pStyle w:val="BodyText"/>
      </w:pPr>
      <w:r>
        <w:t xml:space="preserve">Appreciate the work you do on the days nothing is wrong — it’s the reason</w:t>
      </w:r>
      <w:r>
        <w:t xml:space="preserve"> </w:t>
      </w:r>
      <w:r>
        <w:t xml:space="preserve">the days something is wrong go better than they otherwise would.</w:t>
      </w:r>
    </w:p>
    <w:p>
      <w:pPr>
        <w:pStyle w:val="BodyText"/>
      </w:pPr>
      <w:r>
        <w:t xml:space="preserve">| Carrington Storm Motors | Safe Pod Engineering Company</w:t>
      </w:r>
      <w:r>
        <w:t xml:space="preserve"> </w:t>
      </w:r>
      <w:r>
        <w:t xml:space="preserve">|</w:t>
      </w:r>
    </w:p>
    <w:p>
      <w:pPr>
        <w:pStyle w:val="BodyText"/>
      </w:pPr>
      <w:r>
        <w:t xml:space="preserve">didn’t already bring with you.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Start w:id="11" w:name="csmeval01-compiled-briefing-packet"/>
    <w:p>
      <w:pPr>
        <w:pStyle w:val="Heading1"/>
      </w:pPr>
      <w:r>
        <w:t xml:space="preserve">CSMEval01 — COMPILED BRIEFING PACKET</w:t>
      </w:r>
    </w:p>
    <w:bookmarkStart w:id="10" w:name="Xc3d66225a3930db4a5886004faaa45410f848b5"/>
    <w:p>
      <w:pPr>
        <w:pStyle w:val="Heading2"/>
      </w:pPr>
      <w:r>
        <w:t xml:space="preserve">Federal &amp; State Emergency Management Agencies</w:t>
      </w:r>
    </w:p>
    <w:bookmarkStart w:id="9" w:name="X0076f856ee82b1aa192572b909281b775439e93"/>
    <w:p>
      <w:pPr>
        <w:pStyle w:val="Heading3"/>
      </w:pPr>
      <w:r>
        <w:t xml:space="preserve">Carrington Storm Motors | Safe Pod Engineering Company — June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packet compiles all three tailored briefing documents prepared for the</w:t>
      </w:r>
      <w:r>
        <w:t xml:space="preserve"> </w:t>
      </w:r>
      <w:r>
        <w:t xml:space="preserve">Federal &amp; State Emergency Management Agencies sector (CSMEval01), in reading</w:t>
      </w:r>
      <w:r>
        <w:t xml:space="preserve"> </w:t>
      </w:r>
      <w:r>
        <w:t xml:space="preserve">order: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A</w:t>
      </w:r>
      <w:r>
        <w:t xml:space="preserve"> </w:t>
      </w:r>
      <w:r>
        <w:t xml:space="preserve">— Grid-Down Mass-Casualty Extraction &amp; Non-Conductive Shelter Hardware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B</w:t>
      </w:r>
      <w:r>
        <w:t xml:space="preserve"> </w:t>
      </w:r>
      <w:r>
        <w:t xml:space="preserve">— The Planning-Assumption Gap: Risk &amp; Readiness Case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Briefing C</w:t>
      </w:r>
      <w:r>
        <w:t xml:space="preserve"> </w:t>
      </w:r>
      <w:r>
        <w:t xml:space="preserve">— Three Low-Friction Ways to Pilot This Without Reinventing Your Process</w:t>
      </w:r>
    </w:p>
    <w:p>
      <w:pPr>
        <w:pStyle w:val="FirstParagraph"/>
      </w:pPr>
      <w:r>
        <w:t xml:space="preserve">All three were produced under the Williams Heuristic Communication Standard</w:t>
      </w:r>
      <w:r>
        <w:t xml:space="preserve"> </w:t>
      </w:r>
      <w:r>
        <w:t xml:space="preserve">(CSMSOPP000001, MODULE-V2) for consistent voice and cadence across the series.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Good morning, or — statistically more likely, given how emergency managers actually</w:t>
      </w:r>
      <w:r>
        <w:t xml:space="preserve"> </w:t>
      </w:r>
      <w:r>
        <w:t xml:space="preserve">live — good 2:47-in-the-afternoon-while-reheating-coffee-for-the-third-time. I will</w:t>
      </w:r>
      <w:r>
        <w:t xml:space="preserve"> </w:t>
      </w:r>
      <w:r>
        <w:t xml:space="preserve">not take much of that reheated coffee’s time. Here is the situation in one honest</w:t>
      </w:r>
      <w:r>
        <w:t xml:space="preserve"> </w:t>
      </w:r>
      <w:r>
        <w:t xml:space="preserve">sentence: your evacuation doctrine assumes people can walk, drive, or be driven out.</w:t>
      </w:r>
      <w:r>
        <w:t xml:space="preserve"> </w:t>
      </w:r>
      <w:r>
        <w:t xml:space="preserve">A Carrington-class event potentially removes walking (elevators dead, stairwells</w:t>
      </w:r>
      <w:r>
        <w:t xml:space="preserve"> </w:t>
      </w:r>
      <w:r>
        <w:t xml:space="preserve">dark), driving (traffic signals dead at T+15 minutes), and driven-out (fleet vehicles</w:t>
      </w:r>
      <w:r>
        <w:t xml:space="preserve"> </w:t>
      </w:r>
      <w:r>
        <w:t xml:space="preserve">GIC-exposed) roughly simultaneously. (Which is, I’ll grant you, an aggressively rude</w:t>
      </w:r>
      <w:r>
        <w:t xml:space="preserve"> </w:t>
      </w:r>
      <w:r>
        <w:t xml:space="preserve">thing for a solar storm to do to a Tuesday.) What follows is not a sales brochure —</w:t>
      </w:r>
      <w:r>
        <w:t xml:space="preserve"> </w:t>
      </w:r>
      <w:r>
        <w:t xml:space="preserve">it’s the two pieces of hardware built specifically for the fifteen minutes after</w:t>
      </w:r>
      <w:r>
        <w:t xml:space="preserve"> </w:t>
      </w:r>
      <w:r>
        <w:t xml:space="preserve">“simultaneously”</w:t>
      </w:r>
      <w:r>
        <w:t xml:space="preserve"> </w:t>
      </w:r>
      <w:r>
        <w:t xml:space="preserve">happens.</w:t>
      </w:r>
    </w:p>
    <w:p>
      <w:pPr>
        <w:pStyle w:val="SourceCode"/>
      </w:pPr>
      <w:r>
        <w:rPr>
          <w:rStyle w:val="VerbatimChar"/>
        </w:rPr>
        <w:t xml:space="preserve">             GRID-DOWN MASS-CASUALTY EXTRACTION &amp; SHELTER HARDWARE</w:t>
      </w:r>
      <w:r>
        <w:br/>
      </w:r>
      <w:r>
        <w:rPr>
          <w:rStyle w:val="VerbatimChar"/>
        </w:rPr>
        <w:t xml:space="preserve">             CSMEval01-A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Summarize the two CSM hardware systems most directly applicable to mobility-impaired</w:t>
      </w:r>
      <w:r>
        <w:t xml:space="preserve"> </w:t>
      </w:r>
      <w:r>
        <w:t xml:space="preserve">evacuation and emergency sheltering during a grid-down, GIC-driven infrastructure</w:t>
      </w:r>
      <w:r>
        <w:t xml:space="preserve"> </w:t>
      </w:r>
      <w:r>
        <w:t xml:space="preserve">failure: the Aegis-Ascension Drone Backpack and the Shipping Container Safe Pod.</w:t>
      </w:r>
    </w:p>
    <w:p>
      <w:pPr>
        <w:numPr>
          <w:ilvl w:val="0"/>
          <w:numId w:val="1002"/>
        </w:numPr>
      </w:pPr>
      <w:r>
        <w:t xml:space="preserve">AEGIS-ASCENSION DRONE BACKPACK (CSMFAB050)</w:t>
      </w:r>
      <w:r>
        <w:t xml:space="preserve"> </w:t>
      </w:r>
      <w:r>
        <w:t xml:space="preserve">Purpose: wearable, heavy-lift evacuation drone for mobility-impaired residents</w:t>
      </w:r>
      <w:r>
        <w:t xml:space="preserve"> </w:t>
      </w:r>
      <w:r>
        <w:t xml:space="preserve">in high-rise buildings when elevators and stairwells are unusable.</w:t>
      </w:r>
    </w:p>
    <w:p>
      <w:pPr>
        <w:numPr>
          <w:ilvl w:val="0"/>
          <w:numId w:val="1000"/>
        </w:numPr>
      </w:pPr>
      <w:r>
        <w:t xml:space="preserve">Specification highlights:</w:t>
      </w:r>
      <w:r>
        <w:t xml:space="preserve"> </w:t>
      </w:r>
      <w:r>
        <w:t xml:space="preserve">• Airframe: BFRP (basalt-fiber-reinforced polymer) monocoque, 6 kg, non-conductive</w:t>
      </w:r>
      <w:r>
        <w:t xml:space="preserve"> </w:t>
      </w:r>
      <w:r>
        <w:t xml:space="preserve">• Lift capacity: 250 kg per unit (rider + equipment)</w:t>
      </w:r>
      <w:r>
        <w:t xml:space="preserve"> </w:t>
      </w:r>
      <w:r>
        <w:t xml:space="preserve">• Propulsion: 8x brushless motors, GaN electronic speed controllers</w:t>
      </w:r>
      <w:r>
        <w:t xml:space="preserve"> </w:t>
      </w:r>
      <w:r>
        <w:t xml:space="preserve">• Navigation: LoRa mesh + MRAM offline mapping + IMU — no GPS dependency</w:t>
      </w:r>
      <w:r>
        <w:t xml:space="preserve"> </w:t>
      </w:r>
      <w:r>
        <w:t xml:space="preserve">• EMI protection: MXene-shielded electronics bay</w:t>
      </w:r>
      <w:r>
        <w:t xml:space="preserve"> </w:t>
      </w:r>
      <w:r>
        <w:t xml:space="preserve">• Power: 5.4 kWh solid-state LiFePO4 battery pack</w:t>
      </w:r>
    </w:p>
    <w:p>
      <w:pPr>
        <w:numPr>
          <w:ilvl w:val="0"/>
          <w:numId w:val="1000"/>
        </w:numPr>
      </w:pPr>
      <w:r>
        <w:t xml:space="preserve">Cost reference (per unit, June 2026 pricing):</w:t>
      </w:r>
      <w:r>
        <w:t xml:space="preserve"> </w:t>
      </w:r>
      <w:r>
        <w:t xml:space="preserve">| Production Scale | Total COGS | Suggested Range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 Prototype (1-5 units) | $16,800 | $26,880 – $36,960 |</w:t>
      </w:r>
      <w:r>
        <w:t xml:space="preserve"> </w:t>
      </w:r>
      <w:r>
        <w:t xml:space="preserve">| Small Batch (100-500/yr) | $12,500 | $18,750 – $25,000 |</w:t>
      </w:r>
      <w:r>
        <w:t xml:space="preserve"> </w:t>
      </w:r>
      <w:r>
        <w:t xml:space="preserve">| Production Volume (5K-50K/yr) | $9,500 | $13,300 – $17,100 |</w:t>
      </w:r>
    </w:p>
    <w:p>
      <w:pPr>
        <w:numPr>
          <w:ilvl w:val="0"/>
          <w:numId w:val="1000"/>
        </w:numPr>
      </w:pPr>
      <w:r>
        <w:t xml:space="preserve">Deployment model referenced in the LA County case study (CSMProEvac2026 V2.0):</w:t>
      </w:r>
      <w:r>
        <w:t xml:space="preserve"> </w:t>
      </w:r>
      <w:r>
        <w:t xml:space="preserve">12-unit fleet pre-positioned at a regional airport emergency depot, automated</w:t>
      </w:r>
      <w:r>
        <w:t xml:space="preserve"> </w:t>
      </w:r>
      <w:r>
        <w:t xml:space="preserve">activation at T-minus-3 hours from a Schumann Resonance pre-event warning trigger.</w:t>
      </w:r>
    </w:p>
    <w:p>
      <w:pPr>
        <w:numPr>
          <w:ilvl w:val="0"/>
          <w:numId w:val="1002"/>
        </w:numPr>
      </w:pPr>
      <w:r>
        <w:t xml:space="preserve">SHIPPING CONTAINER SAFE POD REDESIGN (CSMFAB0103)</w:t>
      </w:r>
      <w:r>
        <w:t xml:space="preserve"> </w:t>
      </w:r>
      <w:r>
        <w:t xml:space="preserve">Purpose: rapidly deployable, non-conductive emergency shelter unit built from</w:t>
      </w:r>
      <w:r>
        <w:t xml:space="preserve"> </w:t>
      </w:r>
      <w:r>
        <w:t xml:space="preserve">standard ISO shipping-container form factors — compatible with existing</w:t>
      </w:r>
      <w:r>
        <w:t xml:space="preserve"> </w:t>
      </w:r>
      <w:r>
        <w:t xml:space="preserve">logistics, staging, and pre-positioning infrastructure already used by</w:t>
      </w:r>
      <w:r>
        <w:t xml:space="preserve"> </w:t>
      </w:r>
      <w:r>
        <w:t xml:space="preserve">emergency management agencies for post-disaster sheltering.</w:t>
      </w:r>
      <w:r>
        <w:t xml:space="preserve"> </w:t>
      </w:r>
      <w:r>
        <w:t xml:space="preserve">Design intent: dielectric shell construction removes the container’s GIC</w:t>
      </w:r>
      <w:r>
        <w:t xml:space="preserve"> </w:t>
      </w:r>
      <w:r>
        <w:t xml:space="preserve">coupling risk (a standard steel container is itself a large antenna during a</w:t>
      </w:r>
      <w:r>
        <w:t xml:space="preserve"> </w:t>
      </w:r>
      <w:r>
        <w:t xml:space="preserve">geomagnetic event) while preserving stackability, craneability, and standard</w:t>
      </w:r>
      <w:r>
        <w:t xml:space="preserve"> </w:t>
      </w:r>
      <w:r>
        <w:t xml:space="preserve">footprint for existing logistics chains.</w:t>
      </w:r>
    </w:p>
    <w:p>
      <w:pPr>
        <w:pStyle w:val="FirstParagraph"/>
      </w:pPr>
      <w:r>
        <w:t xml:space="preserve">WHY THIS PAIRING MATTERS TO YOUR PLANNING CYCLE</w:t>
      </w:r>
      <w:r>
        <w:t xml:space="preserve"> </w:t>
      </w:r>
      <w:r>
        <w:t xml:space="preserve">Extraction hardware without shelter is a rescue with no destination. Shelter</w:t>
      </w:r>
      <w:r>
        <w:t xml:space="preserve"> </w:t>
      </w:r>
      <w:r>
        <w:t xml:space="preserve">without extraction is a destination no one mobility-impaired can reach. The two</w:t>
      </w:r>
      <w:r>
        <w:t xml:space="preserve"> </w:t>
      </w:r>
      <w:r>
        <w:t xml:space="preserve">systems are designed to be procured, staged, and drilled together — consistent</w:t>
      </w:r>
      <w:r>
        <w:t xml:space="preserve"> </w:t>
      </w:r>
      <w:r>
        <w:t xml:space="preserve">with how EMAC mutual-aid depots and FEMA regional logistics centers already stage</w:t>
      </w:r>
      <w:r>
        <w:t xml:space="preserve"> </w:t>
      </w:r>
      <w:r>
        <w:t xml:space="preserve">paired equipment sets.</w:t>
      </w:r>
    </w:p>
    <w:p>
      <w:pPr>
        <w:pStyle w:val="BodyText"/>
      </w:pPr>
      <w:r>
        <w:t xml:space="preserve">NEXT STEP</w:t>
      </w:r>
      <w:r>
        <w:t xml:space="preserve"> </w:t>
      </w:r>
      <w:r>
        <w:t xml:space="preserve">Briefing B in this series (CSMEval01-B) quantifies the specific timing case —</w:t>
      </w:r>
      <w:r>
        <w:t xml:space="preserve"> </w:t>
      </w:r>
      <w:r>
        <w:t xml:space="preserve">how many minutes you actually have, and why the current solar cycle makes that</w:t>
      </w:r>
      <w:r>
        <w:t xml:space="preserve"> </w:t>
      </w:r>
      <w:r>
        <w:t xml:space="preserve">number smaller than most hazard mitigation plans assume it to be.</w:t>
      </w:r>
    </w:p>
    <w:p>
      <w:pPr>
        <w:pStyle w:val="BodyText"/>
      </w:pPr>
      <w:r>
        <w:t xml:space="preserve">Every number above traces to a dated CSM engineering document — ask and we’ll send the full spec. 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                   Risk &amp; Continuity Research Office | "Prepared Is the Best Possible Position"</w:t>
      </w:r>
    </w:p>
    <w:p>
      <w:pPr>
        <w:pStyle w:val="FirstParagraph"/>
      </w:pPr>
      <w:r>
        <w:t xml:space="preserve">Alright. Sit down for this one — actually, no, don’t sit, sitting is what we do</w:t>
      </w:r>
      <w:r>
        <w:t xml:space="preserve"> </w:t>
      </w:r>
      <w:r>
        <w:t xml:space="preserve">when we’ve decided something isn’t urgent, and I need four minutes of the</w:t>
      </w:r>
      <w:r>
        <w:t xml:space="preserve"> </w:t>
      </w:r>
      <w:r>
        <w:t xml:space="preserve">standing kind of attention. Here’s the number that should be doing laps in your</w:t>
      </w:r>
      <w:r>
        <w:t xml:space="preserve"> </w:t>
      </w:r>
      <w:r>
        <w:t xml:space="preserve">head right now: your hazard mitigation plan almost certainly assumes a solar</w:t>
      </w:r>
      <w:r>
        <w:t xml:space="preserve"> </w:t>
      </w:r>
      <w:r>
        <w:t xml:space="preserve">cycle peak sunspot number around 115. That was the honest, professionally</w:t>
      </w:r>
      <w:r>
        <w:t xml:space="preserve"> </w:t>
      </w:r>
      <w:r>
        <w:t xml:space="preserve">credible 2019 forecast. The confirmed, measured, no-longer-a-forecast number for</w:t>
      </w:r>
      <w:r>
        <w:t xml:space="preserve"> </w:t>
      </w:r>
      <w:r>
        <w:t xml:space="preserve">Solar Cycle 25, as of Q1 2026, is approximately 137. That’s not a rounding</w:t>
      </w:r>
      <w:r>
        <w:t xml:space="preserve"> </w:t>
      </w:r>
      <w:r>
        <w:t xml:space="preserve">error — that’s the universe quietly revising your risk model upward by nineteen</w:t>
      </w:r>
      <w:r>
        <w:t xml:space="preserve"> </w:t>
      </w:r>
      <w:r>
        <w:t xml:space="preserve">percent while you were dealing with, I don’t know, budget season. (The sun does</w:t>
      </w:r>
      <w:r>
        <w:t xml:space="preserve"> </w:t>
      </w:r>
      <w:r>
        <w:t xml:space="preserve">not care about your budget season. This is, frankly, the single most consistent</w:t>
      </w:r>
      <w:r>
        <w:t xml:space="preserve"> </w:t>
      </w:r>
      <w:r>
        <w:t xml:space="preserve">thing about the sun.) I promise you the rest of this is numbers, not feelings.</w:t>
      </w:r>
      <w:r>
        <w:t xml:space="preserve"> </w:t>
      </w:r>
      <w:r>
        <w:t xml:space="preserve">But I needed you standing for that one.</w:t>
      </w:r>
    </w:p>
    <w:p>
      <w:pPr>
        <w:pStyle w:val="SourceCode"/>
      </w:pPr>
      <w:r>
        <w:rPr>
          <w:rStyle w:val="VerbatimChar"/>
        </w:rPr>
        <w:t xml:space="preserve">             THE PLANNING-ASSUMPTION GAP: RISK &amp; READINESS CASE</w:t>
      </w:r>
      <w:r>
        <w:br/>
      </w:r>
      <w:r>
        <w:rPr>
          <w:rStyle w:val="VerbatimChar"/>
        </w:rPr>
        <w:t xml:space="preserve">             CSMEval01-B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Quantify why a Carrington-class geomagnetic event during current Solar Cycle 25</w:t>
      </w:r>
      <w:r>
        <w:t xml:space="preserve"> </w:t>
      </w:r>
      <w:r>
        <w:t xml:space="preserve">conditions falls outside the assumptions embedded in most existing five-year</w:t>
      </w:r>
      <w:r>
        <w:t xml:space="preserve"> </w:t>
      </w:r>
      <w:r>
        <w:t xml:space="preserve">Hazard Mitigation Plans (HMPs), and why the update cycle already required under</w:t>
      </w:r>
      <w:r>
        <w:t xml:space="preserve"> </w:t>
      </w:r>
      <w:r>
        <w:t xml:space="preserve">44 CFR §201 is the natural point to close that gap.</w:t>
      </w:r>
    </w:p>
    <w:p>
      <w:pPr>
        <w:pStyle w:val="BodyText"/>
      </w:pPr>
      <w:r>
        <w:t xml:space="preserve">KEY FACTS</w:t>
      </w:r>
      <w:r>
        <w:t xml:space="preserve"> </w:t>
      </w:r>
      <w:r>
        <w:t xml:space="preserve">• Solar Cycle 25 observed peak: SSN ~137 (NOAA SWPC, Q1 2026) vs. ~115 pre-cycle</w:t>
      </w:r>
      <w:r>
        <w:t xml:space="preserve"> </w:t>
      </w:r>
      <w:r>
        <w:t xml:space="preserve">forecast — a ~19% upward revision in storm-producing solar activity.</w:t>
      </w:r>
      <w:r>
        <w:t xml:space="preserve"> </w:t>
      </w:r>
      <w:r>
        <w:t xml:space="preserve">• May 2024</w:t>
      </w:r>
      <w:r>
        <w:t xml:space="preserve"> </w:t>
      </w:r>
      <w:r>
        <w:t xml:space="preserve">“Gannon Storm”</w:t>
      </w:r>
      <w:r>
        <w:t xml:space="preserve"> </w:t>
      </w:r>
      <w:r>
        <w:t xml:space="preserve">(G5/Kp9): strongest geomagnetic storm since 2003.</w:t>
      </w:r>
      <w:r>
        <w:t xml:space="preserve"> </w:t>
      </w:r>
      <w:r>
        <w:t xml:space="preserve">GPS/GNSS outages up to two days across the U.S. Midwest; $500M+ in estimated</w:t>
      </w:r>
      <w:r>
        <w:t xml:space="preserve"> </w:t>
      </w:r>
      <w:r>
        <w:t xml:space="preserve">U.S. agricultural losses from precision-equipment disruption. Grid impact was</w:t>
      </w:r>
      <w:r>
        <w:t xml:space="preserve"> </w:t>
      </w:r>
      <w:r>
        <w:t xml:space="preserve">mild — this was not a worst-case event, and it still cost half a billion dollars.</w:t>
      </w:r>
      <w:r>
        <w:t xml:space="preserve"> </w:t>
      </w:r>
      <w:r>
        <w:t xml:space="preserve">• Modeled evacuation-window compression (LA County case study, CSMProEvac2026</w:t>
      </w:r>
      <w:r>
        <w:t xml:space="preserve"> </w:t>
      </w:r>
      <w:r>
        <w:t xml:space="preserve">V2.0): traffic signal controllers fail at T+15 min; cellular base-station UPS</w:t>
      </w:r>
      <w:r>
        <w:t xml:space="preserve"> </w:t>
      </w:r>
      <w:r>
        <w:t xml:space="preserve">depleted at T+45 min; GPS degraded by T+2 hr; major bridge deck closures by</w:t>
      </w:r>
      <w:r>
        <w:t xml:space="preserve"> </w:t>
      </w:r>
      <w:r>
        <w:t xml:space="preserve">T+8 hr from joint seizure. Effective evacuation window: T+0 to T+45 minutes.</w:t>
      </w:r>
      <w:r>
        <w:t xml:space="preserve"> </w:t>
      </w:r>
      <w:r>
        <w:t xml:space="preserve">• Warning-time improvement available: Schumann Resonance frequency-shift</w:t>
      </w:r>
      <w:r>
        <w:t xml:space="preserve"> </w:t>
      </w:r>
      <w:r>
        <w:t xml:space="preserve">monitoring can extend detection lead time from the current 15–45 minutes</w:t>
      </w:r>
      <w:r>
        <w:t xml:space="preserve"> </w:t>
      </w:r>
      <w:r>
        <w:t xml:space="preserve">(standard alert systems) to 4–6 hours pre-impact — a ~6-8x improvement in</w:t>
      </w:r>
      <w:r>
        <w:t xml:space="preserve"> </w:t>
      </w:r>
      <w:r>
        <w:t xml:space="preserve">the single variable that matters most to an evacuation order.</w:t>
      </w:r>
    </w:p>
    <w:p>
      <w:pPr>
        <w:pStyle w:val="BodyText"/>
      </w:pPr>
      <w:r>
        <w:t xml:space="preserve">RISKS / CONCERNS IF UNADDRESSED</w:t>
      </w:r>
      <w:r>
        <w:t xml:space="preserve"> </w:t>
      </w:r>
      <w:r>
        <w:t xml:space="preserve">• HMPs updated on the standard five-year cycle without revised solar-cycle data</w:t>
      </w:r>
      <w:r>
        <w:t xml:space="preserve"> </w:t>
      </w:r>
      <w:r>
        <w:t xml:space="preserve">carry forward a hazard assumption that is now measurably out of date.</w:t>
      </w:r>
      <w:r>
        <w:t xml:space="preserve"> </w:t>
      </w:r>
      <w:r>
        <w:t xml:space="preserve">• Continuity-of-Operations (COOP) plans built around 15-45 minute warning</w:t>
      </w:r>
      <w:r>
        <w:t xml:space="preserve"> </w:t>
      </w:r>
      <w:r>
        <w:t xml:space="preserve">windows may not accommodate mobility-impaired population evacuation at all.</w:t>
      </w:r>
      <w:r>
        <w:t xml:space="preserve"> </w:t>
      </w:r>
      <w:r>
        <w:t xml:space="preserve">• FEMA BRIC grant cycles reward documented, quantified hazard updates — an</w:t>
      </w:r>
      <w:r>
        <w:t xml:space="preserve"> </w:t>
      </w:r>
      <w:r>
        <w:t xml:space="preserve">unrevised HMP is a missed, not merely delayed, funding opportunity.</w:t>
      </w:r>
    </w:p>
    <w:p>
      <w:pPr>
        <w:pStyle w:val="BodyText"/>
      </w:pPr>
      <w:r>
        <w:t xml:space="preserve">NEXT STEP</w:t>
      </w:r>
      <w:r>
        <w:t xml:space="preserve"> </w:t>
      </w:r>
      <w:r>
        <w:t xml:space="preserve">Briefing C in this series (CSMEval01-C) lays out how a hazard-data update and a</w:t>
      </w:r>
      <w:r>
        <w:t xml:space="preserve"> </w:t>
      </w:r>
      <w:r>
        <w:t xml:space="preserve">hardware pilot can both ride the existing HMP revision cycle — no new process</w:t>
      </w:r>
      <w:r>
        <w:t xml:space="preserve"> </w:t>
      </w:r>
      <w:r>
        <w:t xml:space="preserve">required, just better inputs to the one you already run.</w:t>
      </w:r>
    </w:p>
    <w:p>
      <w:pPr>
        <w:pStyle w:val="BodyText"/>
      </w:pPr>
      <w:r>
        <w:t xml:space="preserve">The data doesn’t get less real if we say it gently — so we said it plainly instead. 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                              Government Partnerships Office | "We Plan So You Can Act With Confidence"</w:t>
      </w:r>
    </w:p>
    <w:p>
      <w:pPr>
        <w:pStyle w:val="FirstParagraph"/>
      </w:pPr>
      <w:r>
        <w:t xml:space="preserve">Last one in this trio, and the good news — genuinely, not sales-brochure good</w:t>
      </w:r>
      <w:r>
        <w:t xml:space="preserve"> </w:t>
      </w:r>
      <w:r>
        <w:t xml:space="preserve">news — is that this is the easy briefing. Nobody’s asking your agency to invent</w:t>
      </w:r>
      <w:r>
        <w:t xml:space="preserve"> </w:t>
      </w:r>
      <w:r>
        <w:t xml:space="preserve">a new procurement category, stand up a new office, or explain a new acronym to</w:t>
      </w:r>
      <w:r>
        <w:t xml:space="preserve"> </w:t>
      </w:r>
      <w:r>
        <w:t xml:space="preserve">a legislature that already has forty-one acronyms it’s tired of. Every pathway</w:t>
      </w:r>
      <w:r>
        <w:t xml:space="preserve"> </w:t>
      </w:r>
      <w:r>
        <w:t xml:space="preserve">below rides a process you already run. We just want to be a better input to it.</w:t>
      </w:r>
      <w:r>
        <w:t xml:space="preserve"> </w:t>
      </w:r>
      <w:r>
        <w:t xml:space="preserve">(That’s the whole pitch, honestly. We’ve been doing the math since 2024 so you</w:t>
      </w:r>
      <w:r>
        <w:t xml:space="preserve"> </w:t>
      </w:r>
      <w:r>
        <w:t xml:space="preserve">don’t have to do it at 11pm before a plan-update deadline.)</w:t>
      </w:r>
    </w:p>
    <w:p>
      <w:pPr>
        <w:pStyle w:val="SourceCode"/>
      </w:pPr>
      <w:r>
        <w:rPr>
          <w:rStyle w:val="VerbatimChar"/>
        </w:rPr>
        <w:t xml:space="preserve">             THREE LOW-FRICTION PILOT PATHWAYS</w:t>
      </w:r>
      <w:r>
        <w:br/>
      </w:r>
      <w:r>
        <w:rPr>
          <w:rStyle w:val="VerbatimChar"/>
        </w:rPr>
        <w:t xml:space="preserve">             CSMEval01-C | June 2026 | v1.0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Identify three existing programmatic pathways — requiring no new authority or</w:t>
      </w:r>
      <w:r>
        <w:t xml:space="preserve"> </w:t>
      </w:r>
      <w:r>
        <w:t xml:space="preserve">process — through which a state or local emergency management agency could</w:t>
      </w:r>
      <w:r>
        <w:t xml:space="preserve"> </w:t>
      </w:r>
      <w:r>
        <w:t xml:space="preserve">pilot CSM hazard data or hardware.</w:t>
      </w:r>
    </w:p>
    <w:p>
      <w:pPr>
        <w:pStyle w:val="BodyText"/>
      </w:pPr>
      <w:r>
        <w:t xml:space="preserve">PATHWAY 1 — HAZARD MITIGATION PLAN (HMP) UPDATE CYCLE</w:t>
      </w:r>
      <w:r>
        <w:t xml:space="preserve"> </w:t>
      </w:r>
      <w:r>
        <w:t xml:space="preserve">What it is: the five-year hazard-assumption revision already required under</w:t>
      </w:r>
      <w:r>
        <w:t xml:space="preserve"> </w:t>
      </w:r>
      <w:r>
        <w:t xml:space="preserve">44 CFR §201 for FEMA mitigation-grant eligibility.</w:t>
      </w:r>
      <w:r>
        <w:t xml:space="preserve"> </w:t>
      </w:r>
      <w:r>
        <w:t xml:space="preserve">What we offer: updated Solar Cycle 25 hazard data and the LA County</w:t>
      </w:r>
      <w:r>
        <w:t xml:space="preserve"> </w:t>
      </w:r>
      <w:r>
        <w:t xml:space="preserve">evacuation-timing case study (CSMProEvac2026) as a drop-in reference for the</w:t>
      </w:r>
      <w:r>
        <w:t xml:space="preserve"> </w:t>
      </w:r>
      <w:r>
        <w:t xml:space="preserve">space-weather hazard section of your next HMP revision.</w:t>
      </w:r>
      <w:r>
        <w:t xml:space="preserve"> </w:t>
      </w:r>
      <w:r>
        <w:t xml:space="preserve">Owner: State Hazard Mitigation Officer.</w:t>
      </w:r>
    </w:p>
    <w:p>
      <w:pPr>
        <w:pStyle w:val="BodyText"/>
      </w:pPr>
      <w:r>
        <w:t xml:space="preserve">PATHWAY 2 — FEMA BRIC (BUILDING RESILIENT INFRASTRUCTURE AND COMMUNITIES) GRANT</w:t>
      </w:r>
      <w:r>
        <w:t xml:space="preserve"> </w:t>
      </w:r>
      <w:r>
        <w:t xml:space="preserve">What it is: existing federal grant program funding hazard-mitigation capital</w:t>
      </w:r>
      <w:r>
        <w:t xml:space="preserve"> </w:t>
      </w:r>
      <w:r>
        <w:t xml:space="preserve">projects, including facility hardening.</w:t>
      </w:r>
      <w:r>
        <w:t xml:space="preserve"> </w:t>
      </w:r>
      <w:r>
        <w:t xml:space="preserve">What we offer: the Safe Refuge Center MXene-shielding retrofit specification</w:t>
      </w:r>
      <w:r>
        <w:t xml:space="preserve"> </w:t>
      </w:r>
      <w:r>
        <w:t xml:space="preserve">(documented at $85,000 per 30,000 sq ft facility in the LA County case study)</w:t>
      </w:r>
      <w:r>
        <w:t xml:space="preserve"> </w:t>
      </w:r>
      <w:r>
        <w:t xml:space="preserve">falls within typical BRIC facility-hardening project scopes.</w:t>
      </w:r>
      <w:r>
        <w:t xml:space="preserve"> </w:t>
      </w:r>
      <w:r>
        <w:t xml:space="preserve">Owner: Grants/Mitigation Division.</w:t>
      </w:r>
    </w:p>
    <w:p>
      <w:pPr>
        <w:pStyle w:val="BodyText"/>
      </w:pPr>
      <w:r>
        <w:t xml:space="preserve">PATHWAY 3 — EMAC MUTUAL-AID DEPOT PRE-POSITIONING</w:t>
      </w:r>
      <w:r>
        <w:t xml:space="preserve"> </w:t>
      </w:r>
      <w:r>
        <w:t xml:space="preserve">What it is: the existing interstate Emergency Management Assistance Compact</w:t>
      </w:r>
      <w:r>
        <w:t xml:space="preserve"> </w:t>
      </w:r>
      <w:r>
        <w:t xml:space="preserve">equipment-staging framework.</w:t>
      </w:r>
      <w:r>
        <w:t xml:space="preserve"> </w:t>
      </w:r>
      <w:r>
        <w:t xml:space="preserve">What we offer: Aegis-Ascension Drone Backpack units are sized for the same</w:t>
      </w:r>
      <w:r>
        <w:t xml:space="preserve"> </w:t>
      </w:r>
      <w:r>
        <w:t xml:space="preserve">depot-and-deploy model already used for other specialized mutual-aid</w:t>
      </w:r>
      <w:r>
        <w:t xml:space="preserve"> </w:t>
      </w:r>
      <w:r>
        <w:t xml:space="preserve">equipment — no new staging doctrine required, only a new item on the shelf.</w:t>
      </w:r>
      <w:r>
        <w:t xml:space="preserve"> </w:t>
      </w:r>
      <w:r>
        <w:t xml:space="preserve">Owner: EMAC state coordinator / regional logistics.</w:t>
      </w:r>
    </w:p>
    <w:p>
      <w:pPr>
        <w:pStyle w:val="BodyText"/>
      </w:pPr>
      <w:r>
        <w:t xml:space="preserve">SUGGESTED FIRST CONVERSATION</w:t>
      </w:r>
      <w:r>
        <w:t xml:space="preserve"> </w:t>
      </w:r>
      <w:r>
        <w:t xml:space="preserve">Not a purchase order. A one-hour technical call between your hazard mitigation</w:t>
      </w:r>
      <w:r>
        <w:t xml:space="preserve"> </w:t>
      </w:r>
      <w:r>
        <w:t xml:space="preserve">planning lead and our engineering team, benchmarked against your jurisdiction’s</w:t>
      </w:r>
      <w:r>
        <w:t xml:space="preserve"> </w:t>
      </w:r>
      <w:r>
        <w:t xml:space="preserve">own next HMP revision deadline — so the timing serves your calendar, not ours.</w:t>
      </w:r>
    </w:p>
    <w:p>
      <w:pPr>
        <w:pStyle w:val="BodyText"/>
      </w:pPr>
      <w:r>
        <w:t xml:space="preserve">Whenever your revision cycle lands, we’re already scheduled to be ready. — Office of External Affairs &amp; Strategic Partnerships, Carrington Storm Motors | Safe Pod Engineering Company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CSMEval01 Compiled Briefing Packet | 3 documents | June 2026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23" w:name="X4ff8a27c2e4e364e104333718220fbc5cce4066"/>
    <w:p>
      <w:pPr>
        <w:pStyle w:val="Heading1"/>
      </w:pPr>
      <w:r>
        <w:t xml:space="preserve">CSMGeneralOutreach — COMPILED COMPENDIUM (Mini)</w:t>
      </w:r>
    </w:p>
    <w:bookmarkStart w:id="12" w:name="Xa30698f00432415fc451300a488d7a19348543b"/>
    <w:p>
      <w:pPr>
        <w:pStyle w:val="Heading2"/>
      </w:pPr>
      <w:r>
        <w:t xml:space="preserve">Carrington Storm Motors | Safe Pod Engineering | June 2026</w:t>
      </w:r>
    </w:p>
    <w:p>
      <w:pPr>
        <w:pStyle w:val="FirstParagraph"/>
      </w:pPr>
      <w:r>
        <w:rPr>
          <w:b/>
          <w:bCs/>
        </w:rPr>
        <w:t xml:space="preserve">P1</w:t>
      </w:r>
      <w:r>
        <w:t xml:space="preserve"> </w:t>
      </w:r>
      <w:r>
        <w:t xml:space="preserve">The Signal From the Sun |</w:t>
      </w:r>
      <w:r>
        <w:t xml:space="preserve"> </w:t>
      </w:r>
      <w:r>
        <w:rPr>
          <w:b/>
          <w:bCs/>
        </w:rPr>
        <w:t xml:space="preserve">P2</w:t>
      </w:r>
      <w:r>
        <w:t xml:space="preserve"> </w:t>
      </w:r>
      <w:r>
        <w:t xml:space="preserve">House That Doesn’t Go Dark |</w:t>
      </w:r>
      <w:r>
        <w:t xml:space="preserve"> </w:t>
      </w:r>
      <w:r>
        <w:rPr>
          <w:b/>
          <w:bCs/>
        </w:rPr>
        <w:t xml:space="preserve">P3</w:t>
      </w:r>
      <w:r>
        <w:t xml:space="preserve"> </w:t>
      </w:r>
      <w:r>
        <w:t xml:space="preserve">Vehicle Hardened |</w:t>
      </w:r>
      <w:r>
        <w:t xml:space="preserve"> </w:t>
      </w:r>
      <w:r>
        <w:rPr>
          <w:b/>
          <w:bCs/>
        </w:rPr>
        <w:t xml:space="preserve">P4</w:t>
      </w:r>
      <w:r>
        <w:t xml:space="preserve"> </w:t>
      </w:r>
      <w:r>
        <w:t xml:space="preserve">Grid Underneath Everything |</w:t>
      </w:r>
      <w:r>
        <w:t xml:space="preserve"> </w:t>
      </w:r>
      <w:r>
        <w:rPr>
          <w:b/>
          <w:bCs/>
        </w:rPr>
        <w:t xml:space="preserve">P5</w:t>
      </w:r>
      <w:r>
        <w:t xml:space="preserve"> </w:t>
      </w:r>
      <w:r>
        <w:t xml:space="preserve">When Every Second Counts |</w:t>
      </w:r>
      <w:r>
        <w:t xml:space="preserve"> </w:t>
      </w:r>
      <w:r>
        <w:rPr>
          <w:b/>
          <w:bCs/>
        </w:rPr>
        <w:t xml:space="preserve">P6</w:t>
      </w:r>
      <w:r>
        <w:t xml:space="preserve"> </w:t>
      </w:r>
      <w:r>
        <w:t xml:space="preserve">Ships, Wings, Space |</w:t>
      </w:r>
      <w:r>
        <w:t xml:space="preserve"> </w:t>
      </w:r>
      <w:r>
        <w:rPr>
          <w:b/>
          <w:bCs/>
        </w:rPr>
        <w:t xml:space="preserve">P7</w:t>
      </w:r>
      <w:r>
        <w:t xml:space="preserve"> </w:t>
      </w:r>
      <w:r>
        <w:t xml:space="preserve">Materials Nobody Sees |</w:t>
      </w:r>
      <w:r>
        <w:t xml:space="preserve"> </w:t>
      </w:r>
      <w:r>
        <w:rPr>
          <w:b/>
          <w:bCs/>
        </w:rPr>
        <w:t xml:space="preserve">P8</w:t>
      </w:r>
      <w:r>
        <w:t xml:space="preserve"> </w:t>
      </w:r>
      <w:r>
        <w:t xml:space="preserve">Human Body in the Data |</w:t>
      </w:r>
      <w:r>
        <w:t xml:space="preserve"> </w:t>
      </w:r>
      <w:r>
        <w:rPr>
          <w:b/>
          <w:bCs/>
        </w:rPr>
        <w:t xml:space="preserve">P9</w:t>
      </w:r>
      <w:r>
        <w:t xml:space="preserve"> </w:t>
      </w:r>
      <w:r>
        <w:t xml:space="preserve">Why We Built All of This</w:t>
      </w:r>
    </w:p>
    <w:p>
      <w:pPr>
        <w:pStyle w:val="BodyText"/>
      </w:pPr>
      <w:r>
        <w:t xml:space="preserve">All parts: Williams Heuristic Communication Standard (CSMSOPP000001, MODULE-V2). Designed as companion to 35 CSMEval sector briefing packets.</w:t>
      </w:r>
    </w:p>
    <w:p>
      <w:r>
        <w:pict>
          <v:rect style="width:0;height:1.5pt" o:hralign="center" o:hrstd="t" o:hr="t"/>
        </w:pict>
      </w:r>
    </w:p>
    <w:bookmarkEnd w:id="12"/>
    <w:bookmarkStart w:id="13" w:name="p1-the-signal-from-the-sun"/>
    <w:p>
      <w:pPr>
        <w:pStyle w:val="Heading2"/>
      </w:pPr>
      <w:r>
        <w:t xml:space="preserve">P1 — THE SIGNAL FROM THE SUN</w:t>
      </w:r>
    </w:p>
    <w:p>
      <w:pPr>
        <w:pStyle w:val="FirstParagraph"/>
      </w:pPr>
      <w:r>
        <w:rPr>
          <w:b/>
          <w:bCs/>
        </w:rPr>
        <w:t xml:space="preserve">1. September 1859:</w:t>
      </w:r>
      <w:r>
        <w:t xml:space="preserve"> </w:t>
      </w:r>
      <w:r>
        <w:t xml:space="preserve">Carrington observed white-light flare. 17.6hr transit (still record). G5 storm hit Earth. Telegraph offices failed globally — some caught fire, operators shocked. Auroras visible in tropics. In 1859, most advanced tech was telegraph. Today it would reach every grid, vehicle, hospital generator, financial system, water plant.</w:t>
      </w:r>
    </w:p>
    <w:p>
      <w:pPr>
        <w:pStyle w:val="BodyText"/>
      </w:pPr>
      <w:r>
        <w:rPr>
          <w:b/>
          <w:bCs/>
        </w:rPr>
        <w:t xml:space="preserve">2. Solar Cycle 25:</w:t>
      </w:r>
      <w:r>
        <w:t xml:space="preserve"> </w:t>
      </w:r>
      <w:r>
        <w:t xml:space="preserve">2019 forecast: SSN ~115. NOAA SWPC Q1 2026 confirmed: ~137. 19% upward revision. We are at or near solar maximum right now.</w:t>
      </w:r>
    </w:p>
    <w:p>
      <w:pPr>
        <w:pStyle w:val="BodyText"/>
      </w:pPr>
      <w:r>
        <w:rPr>
          <w:b/>
          <w:bCs/>
        </w:rPr>
        <w:t xml:space="preserve">3. May 2024 Gannon Storm:</w:t>
      </w:r>
      <w:r>
        <w:t xml:space="preserve"> </w:t>
      </w:r>
      <w:r>
        <w:t xml:space="preserve">G5/Kp9, strongest since 2003. Grid held (NERC protocols). $500-565M U.S. agricultural losses from GPS/GNSS disruption. Measurable transformer stress across North America. Not a scenario — a receipt.</w:t>
      </w:r>
    </w:p>
    <w:p>
      <w:pPr>
        <w:pStyle w:val="BodyText"/>
      </w:pPr>
      <w:r>
        <w:rPr>
          <w:b/>
          <w:bCs/>
        </w:rPr>
        <w:t xml:space="preserve">4. Worse-case cost:</w:t>
      </w:r>
      <w:r>
        <w:t xml:space="preserve"> </w:t>
      </w:r>
      <w:r>
        <w:t xml:space="preserve">Lloyd’s modeled $2.4T global over 5 years. N. American Carrington scenario: $0.6-2.6T. Transformer replacement lead times: up to 12 months. Insurance brokers on alert January 2026 after G4 watch.</w:t>
      </w:r>
    </w:p>
    <w:p>
      <w:r>
        <w:pict>
          <v:rect style="width:0;height:1.5pt" o:hralign="center" o:hrstd="t" o:hr="t"/>
        </w:pict>
      </w:r>
    </w:p>
    <w:bookmarkEnd w:id="13"/>
    <w:bookmarkStart w:id="14" w:name="p2-the-house-that-doesnt-go-dark"/>
    <w:p>
      <w:pPr>
        <w:pStyle w:val="Heading2"/>
      </w:pPr>
      <w:r>
        <w:t xml:space="preserve">P2 — THE HOUSE THAT DOESN’T GO DARK</w:t>
      </w:r>
    </w:p>
    <w:p>
      <w:pPr>
        <w:pStyle w:val="FirstParagraph"/>
      </w:pPr>
      <w:r>
        <w:rPr>
          <w:b/>
          <w:bCs/>
        </w:rPr>
        <w:t xml:space="preserve">1. Stellar-Chill:</w:t>
      </w:r>
      <w:r>
        <w:t xml:space="preserve"> </w:t>
      </w:r>
      <w:r>
        <w:t xml:space="preserve">Electrocaloric cooling instead of compressor — no large motor, no refrigerant loop needing continuous grid power.</w:t>
      </w:r>
    </w:p>
    <w:p>
      <w:pPr>
        <w:pStyle w:val="BodyText"/>
      </w:pPr>
      <w:r>
        <w:rPr>
          <w:b/>
          <w:bCs/>
        </w:rPr>
        <w:t xml:space="preserve">2. Safe-Wave:</w:t>
      </w:r>
      <w:r>
        <w:t xml:space="preserve"> </w:t>
      </w:r>
      <w:r>
        <w:t xml:space="preserve">Solid-state GaN microwave — smaller, efficient, less vulnerable to induced-current damage than magnetron tube.</w:t>
      </w:r>
    </w:p>
    <w:p>
      <w:pPr>
        <w:pStyle w:val="BodyText"/>
      </w:pPr>
      <w:r>
        <w:rPr>
          <w:b/>
          <w:bCs/>
        </w:rPr>
        <w:t xml:space="preserve">3. Stone-Bake / Ancient Hearth:</w:t>
      </w:r>
      <w:r>
        <w:t xml:space="preserve"> </w:t>
      </w:r>
      <w:r>
        <w:t xml:space="preserve">Radiant ceramic heat, controlled combustion in modern form factor — cooking that never needed electricity.</w:t>
      </w:r>
    </w:p>
    <w:p>
      <w:pPr>
        <w:pStyle w:val="BodyText"/>
      </w:pPr>
      <w:r>
        <w:rPr>
          <w:b/>
          <w:bCs/>
        </w:rPr>
        <w:t xml:space="preserve">4. Hot water:</w:t>
      </w:r>
      <w:r>
        <w:t xml:space="preserve"> </w:t>
      </w:r>
      <w:r>
        <w:t xml:space="preserve">Chemically-bonded phosphate ceramic water heater, inflatable, heats without grid.</w:t>
      </w:r>
    </w:p>
    <w:p>
      <w:pPr>
        <w:pStyle w:val="BodyText"/>
      </w:pPr>
      <w:r>
        <w:rPr>
          <w:b/>
          <w:bCs/>
        </w:rPr>
        <w:t xml:space="preserve">5. Building itself:</w:t>
      </w:r>
      <w:r>
        <w:t xml:space="preserve"> </w:t>
      </w:r>
      <w:r>
        <w:t xml:space="preserve">BFRP rebar (no steel), dielectric geopolymer concrete, non-conductive wiring/plumbing, passive Chromatic Field Monitor for household-level EME early warning.</w:t>
      </w:r>
    </w:p>
    <w:p>
      <w:r>
        <w:pict>
          <v:rect style="width:0;height:1.5pt" o:hralign="center" o:hrstd="t" o:hr="t"/>
        </w:pict>
      </w:r>
    </w:p>
    <w:bookmarkEnd w:id="14"/>
    <w:bookmarkStart w:id="15" w:name="X6493a1949696d6b208df3a3b48ddf9ddaa2d316"/>
    <w:p>
      <w:pPr>
        <w:pStyle w:val="Heading2"/>
      </w:pPr>
      <w:r>
        <w:t xml:space="preserve">P3 — THE VEHICLE YOU ALREADY TRUST, HARDENED</w:t>
      </w:r>
    </w:p>
    <w:p>
      <w:pPr>
        <w:pStyle w:val="FirstParagraph"/>
      </w:pPr>
      <w:r>
        <w:rPr>
          <w:b/>
          <w:bCs/>
        </w:rPr>
        <w:t xml:space="preserve">1. Feet and hands:</w:t>
      </w:r>
      <w:r>
        <w:t xml:space="preserve"> </w:t>
      </w:r>
      <w:r>
        <w:t xml:space="preserve">Grounding-Sole and Vibra-Volt pedal covers reduce foot vibration. Neural-Grip steering wrap for hands. Backed by CSMHuman vibration research.</w:t>
      </w:r>
    </w:p>
    <w:p>
      <w:pPr>
        <w:pStyle w:val="BodyText"/>
      </w:pPr>
      <w:r>
        <w:rPr>
          <w:b/>
          <w:bCs/>
        </w:rPr>
        <w:t xml:space="preserve">2. Seat and neck:</w:t>
      </w:r>
      <w:r>
        <w:t xml:space="preserve"> </w:t>
      </w:r>
      <w:r>
        <w:t xml:space="preserve">Cervical-Guard and Mag-Float diamagnetic seat rail — whole-body and cervical vibration protection.</w:t>
      </w:r>
    </w:p>
    <w:p>
      <w:pPr>
        <w:pStyle w:val="BodyText"/>
      </w:pPr>
      <w:r>
        <w:rPr>
          <w:b/>
          <w:bCs/>
        </w:rPr>
        <w:t xml:space="preserve">3. Cabin:</w:t>
      </w:r>
      <w:r>
        <w:t xml:space="preserve"> </w:t>
      </w:r>
      <w:r>
        <w:t xml:space="preserve">Silence-Block door inserts, Stellar-Tint window film — cabin EMI and acoustic noise (especially relevant for EVs).</w:t>
      </w:r>
    </w:p>
    <w:p>
      <w:pPr>
        <w:pStyle w:val="BodyText"/>
      </w:pPr>
      <w:r>
        <w:rPr>
          <w:b/>
          <w:bCs/>
        </w:rPr>
        <w:t xml:space="preserve">4. Post-GPS navigation:</w:t>
      </w:r>
      <w:r>
        <w:t xml:space="preserve"> </w:t>
      </w:r>
      <w:r>
        <w:t xml:space="preserve">Way-Finder haptic insoles — piezoelectric energy-harvesting + LoRa mesh positioning.</w:t>
      </w:r>
    </w:p>
    <w:p>
      <w:pPr>
        <w:pStyle w:val="BodyText"/>
      </w:pPr>
      <w:r>
        <w:rPr>
          <w:b/>
          <w:bCs/>
        </w:rPr>
        <w:t xml:space="preserve">5. Child seat:</w:t>
      </w:r>
      <w:r>
        <w:t xml:space="preserve"> </w:t>
      </w:r>
      <w:r>
        <w:t xml:space="preserve">Cloud-Nest aerogel base — thermal and vibration protection.</w:t>
      </w:r>
    </w:p>
    <w:p>
      <w:r>
        <w:pict>
          <v:rect style="width:0;height:1.5pt" o:hralign="center" o:hrstd="t" o:hr="t"/>
        </w:pict>
      </w:r>
    </w:p>
    <w:bookmarkEnd w:id="15"/>
    <w:bookmarkStart w:id="16" w:name="p4-the-grid-underneath-everything"/>
    <w:p>
      <w:pPr>
        <w:pStyle w:val="Heading2"/>
      </w:pPr>
      <w:r>
        <w:t xml:space="preserve">P4 — THE GRID UNDERNEATH EVERYTHING</w:t>
      </w:r>
    </w:p>
    <w:p>
      <w:pPr>
        <w:pStyle w:val="FirstParagraph"/>
      </w:pPr>
      <w:r>
        <w:rPr>
          <w:b/>
          <w:bCs/>
        </w:rPr>
        <w:t xml:space="preserve">1. Electric grid:</w:t>
      </w:r>
      <w:r>
        <w:t xml:space="preserve"> </w:t>
      </w:r>
      <w:r>
        <w:t xml:space="preserve">Composite non-metallic transmission structures, dielectric substation fencing, low-cost passive field monitor.</w:t>
      </w:r>
    </w:p>
    <w:p>
      <w:pPr>
        <w:pStyle w:val="BodyText"/>
      </w:pPr>
      <w:r>
        <w:rPr>
          <w:b/>
          <w:bCs/>
        </w:rPr>
        <w:t xml:space="preserve">2. Bridges:</w:t>
      </w:r>
      <w:r>
        <w:t xml:space="preserve"> </w:t>
      </w:r>
      <w:r>
        <w:t xml:space="preserve">Audit methodology applied to 4 metro areas — steel girders/cables concentrate storm current like transmission lines.</w:t>
      </w:r>
    </w:p>
    <w:p>
      <w:pPr>
        <w:pStyle w:val="BodyText"/>
      </w:pPr>
      <w:r>
        <w:rPr>
          <w:b/>
          <w:bCs/>
        </w:rPr>
        <w:t xml:space="preserve">3. Pipelines:</w:t>
      </w:r>
      <w:r>
        <w:t xml:space="preserve"> </w:t>
      </w:r>
      <w:r>
        <w:t xml:space="preserve">Steel pipelines experience storm-driven corrosion at cathodic-protection joints. GFRP pipe alternative removes steel pathway.</w:t>
      </w:r>
    </w:p>
    <w:p>
      <w:pPr>
        <w:pStyle w:val="BodyText"/>
      </w:pPr>
      <w:r>
        <w:rPr>
          <w:b/>
          <w:bCs/>
        </w:rPr>
        <w:t xml:space="preserve">4. Water systems:</w:t>
      </w:r>
      <w:r>
        <w:t xml:space="preserve"> </w:t>
      </w:r>
      <w:r>
        <w:t xml:space="preserve">Treatment depends on grid power. Buried metal pipes carry storm-current exposure. No mandatory storm-hardening standard exists — being early still matters.</w:t>
      </w:r>
    </w:p>
    <w:p>
      <w:pPr>
        <w:pStyle w:val="BodyText"/>
      </w:pPr>
      <w:r>
        <w:rPr>
          <w:b/>
          <w:bCs/>
        </w:rPr>
        <w:t xml:space="preserve">5. Rail:</w:t>
      </w:r>
      <w:r>
        <w:t xml:space="preserve"> </w:t>
      </w:r>
      <w:r>
        <w:t xml:space="preserve">Continuous-welded rail and catenary wires = long-conductor geometry. Signaling failure is real-time safety question.</w:t>
      </w:r>
    </w:p>
    <w:p>
      <w:r>
        <w:pict>
          <v:rect style="width:0;height:1.5pt" o:hralign="center" o:hrstd="t" o:hr="t"/>
        </w:pict>
      </w:r>
    </w:p>
    <w:bookmarkEnd w:id="16"/>
    <w:bookmarkStart w:id="17" w:name="p5-when-every-second-counts"/>
    <w:p>
      <w:pPr>
        <w:pStyle w:val="Heading2"/>
      </w:pPr>
      <w:r>
        <w:t xml:space="preserve">P5 — WHEN EVERY SECOND COUNTS</w:t>
      </w:r>
    </w:p>
    <w:p>
      <w:pPr>
        <w:pStyle w:val="FirstParagraph"/>
      </w:pPr>
      <w:r>
        <w:rPr>
          <w:b/>
          <w:bCs/>
        </w:rPr>
        <w:t xml:space="preserve">1. Timeline:</w:t>
      </w:r>
      <w:r>
        <w:t xml:space="preserve"> </w:t>
      </w:r>
      <w:r>
        <w:t xml:space="preserve">Traffic signals fail T+15min, cell towers T+45min, major bridges T+8hrs. Most evac planning assumes far longer.</w:t>
      </w:r>
    </w:p>
    <w:p>
      <w:pPr>
        <w:pStyle w:val="BodyText"/>
      </w:pPr>
      <w:r>
        <w:rPr>
          <w:b/>
          <w:bCs/>
        </w:rPr>
        <w:t xml:space="preserve">2. Warning:</w:t>
      </w:r>
      <w:r>
        <w:t xml:space="preserve"> </w:t>
      </w:r>
      <w:r>
        <w:t xml:space="preserve">Schumann Resonance monitoring: 4-6hr pre-impact warning (vs. current 15-45min).</w:t>
      </w:r>
    </w:p>
    <w:p>
      <w:pPr>
        <w:pStyle w:val="BodyText"/>
      </w:pPr>
      <w:r>
        <w:rPr>
          <w:b/>
          <w:bCs/>
        </w:rPr>
        <w:t xml:space="preserve">3. High-rise evac:</w:t>
      </w:r>
      <w:r>
        <w:t xml:space="preserve"> </w:t>
      </w:r>
      <w:r>
        <w:t xml:space="preserve">Aegis-Ascension drone backpack — 250kg capacity, non-conductive airframe, no GPS dependency.</w:t>
      </w:r>
    </w:p>
    <w:p>
      <w:pPr>
        <w:pStyle w:val="BodyText"/>
      </w:pPr>
      <w:r>
        <w:rPr>
          <w:b/>
          <w:bCs/>
        </w:rPr>
        <w:t xml:space="preserve">4. Shelter:</w:t>
      </w:r>
      <w:r>
        <w:t xml:space="preserve"> </w:t>
      </w:r>
      <w:r>
        <w:t xml:space="preserve">Shipping-container emergency shelter — fully non-conductive shell (steel container = large antenna during storm).</w:t>
      </w:r>
    </w:p>
    <w:p>
      <w:pPr>
        <w:pStyle w:val="BodyText"/>
      </w:pPr>
      <w:r>
        <w:rPr>
          <w:b/>
          <w:bCs/>
        </w:rPr>
        <w:t xml:space="preserve">5. Communications:</w:t>
      </w:r>
      <w:r>
        <w:t xml:space="preserve"> </w:t>
      </w:r>
      <w:r>
        <w:t xml:space="preserve">256-node LoRa mesh, solar-charged, self-organizing, 30-day autonomous operation, no central hub or GPS.</w:t>
      </w:r>
    </w:p>
    <w:p>
      <w:r>
        <w:pict>
          <v:rect style="width:0;height:1.5pt" o:hralign="center" o:hrstd="t" o:hr="t"/>
        </w:pict>
      </w:r>
    </w:p>
    <w:bookmarkEnd w:id="17"/>
    <w:bookmarkStart w:id="18" w:name="p6-ships-wings-and-the-space-beyond"/>
    <w:p>
      <w:pPr>
        <w:pStyle w:val="Heading2"/>
      </w:pPr>
      <w:r>
        <w:t xml:space="preserve">P6 — SHIPS, WINGS, AND THE SPACE BEYOND</w:t>
      </w:r>
    </w:p>
    <w:p>
      <w:pPr>
        <w:pStyle w:val="FirstParagraph"/>
      </w:pPr>
      <w:r>
        <w:rPr>
          <w:b/>
          <w:bCs/>
        </w:rPr>
        <w:t xml:space="preserve">1. At sea:</w:t>
      </w:r>
      <w:r>
        <w:t xml:space="preserve"> </w:t>
      </w:r>
      <w:r>
        <w:t xml:space="preserve">Fleet-wide resilience retrofit (real cruise line case study) — hull, cabins, propulsion. Charlemagne Class: amphibious biomimetic hulls.</w:t>
      </w:r>
    </w:p>
    <w:p>
      <w:pPr>
        <w:pStyle w:val="BodyText"/>
      </w:pPr>
      <w:r>
        <w:rPr>
          <w:b/>
          <w:bCs/>
        </w:rPr>
        <w:t xml:space="preserve">2. In the air:</w:t>
      </w:r>
      <w:r>
        <w:t xml:space="preserve"> </w:t>
      </w:r>
      <w:r>
        <w:t xml:space="preserve">A-10 Thunderbolt II redesign in non-inductive composites — fully worked feasibility study, dual-use (natural EME + directed energy).</w:t>
      </w:r>
    </w:p>
    <w:p>
      <w:pPr>
        <w:pStyle w:val="BodyText"/>
      </w:pPr>
      <w:r>
        <w:rPr>
          <w:b/>
          <w:bCs/>
        </w:rPr>
        <w:t xml:space="preserve">3. Humanoid robots:</w:t>
      </w:r>
      <w:r>
        <w:t xml:space="preserve"> </w:t>
      </w:r>
      <w:r>
        <w:t xml:space="preserve">EME hardening case studies (legacy platform + Mars colonization). Distinctive anti-capture security architecture.</w:t>
      </w:r>
    </w:p>
    <w:p>
      <w:pPr>
        <w:pStyle w:val="BodyText"/>
      </w:pPr>
      <w:r>
        <w:rPr>
          <w:b/>
          <w:bCs/>
        </w:rPr>
        <w:t xml:space="preserve">4. In orbit:</w:t>
      </w:r>
      <w:r>
        <w:t xml:space="preserve"> </w:t>
      </w:r>
      <w:r>
        <w:t xml:space="preserve">Smart Rope launch-assist actuator, underwater/orbital kinetic launch concept — early-stage, honestly labeled.</w:t>
      </w:r>
    </w:p>
    <w:p>
      <w:pPr>
        <w:pStyle w:val="BodyText"/>
      </w:pPr>
      <w:r>
        <w:rPr>
          <w:b/>
          <w:bCs/>
        </w:rPr>
        <w:t xml:space="preserve">5. Uncrewed:</w:t>
      </w:r>
      <w:r>
        <w:t xml:space="preserve"> </w:t>
      </w:r>
      <w:r>
        <w:t xml:space="preserve">Wind-energy drone, wearable evac drone, sub-250g university research platform.</w:t>
      </w:r>
    </w:p>
    <w:p>
      <w:r>
        <w:pict>
          <v:rect style="width:0;height:1.5pt" o:hralign="center" o:hrstd="t" o:hr="t"/>
        </w:pict>
      </w:r>
    </w:p>
    <w:bookmarkEnd w:id="18"/>
    <w:bookmarkStart w:id="19" w:name="p7-the-materials-nobody-sees"/>
    <w:p>
      <w:pPr>
        <w:pStyle w:val="Heading2"/>
      </w:pPr>
      <w:r>
        <w:t xml:space="preserve">P7 — THE MATERIALS NOBODY SEES</w:t>
      </w:r>
    </w:p>
    <w:p>
      <w:pPr>
        <w:pStyle w:val="FirstParagraph"/>
      </w:pPr>
      <w:r>
        <w:rPr>
          <w:b/>
          <w:bCs/>
        </w:rPr>
        <w:t xml:space="preserve">1. Ceramics and fabrics:</w:t>
      </w:r>
      <w:r>
        <w:t xml:space="preserve"> </w:t>
      </w:r>
      <w:r>
        <w:t xml:space="preserve">UHTC and basalt-fiber composites. Real commercial supply chains exist (basalt fiber, geopolymer concrete).</w:t>
      </w:r>
    </w:p>
    <w:p>
      <w:pPr>
        <w:pStyle w:val="BodyText"/>
      </w:pPr>
      <w:r>
        <w:rPr>
          <w:b/>
          <w:bCs/>
        </w:rPr>
        <w:t xml:space="preserve">2. EMI coating:</w:t>
      </w:r>
      <w:r>
        <w:t xml:space="preserve"> </w:t>
      </w:r>
      <w:r>
        <w:t xml:space="preserve">MXene-based shielding — 90+ dB effectiveness on ordinary structures.</w:t>
      </w:r>
    </w:p>
    <w:p>
      <w:pPr>
        <w:pStyle w:val="BodyText"/>
      </w:pPr>
      <w:r>
        <w:rPr>
          <w:b/>
          <w:bCs/>
        </w:rPr>
        <w:t xml:space="preserve">3. Magnets:</w:t>
      </w:r>
      <w:r>
        <w:t xml:space="preserve"> </w:t>
      </w:r>
      <w:r>
        <w:t xml:space="preserve">Iron-nitride rare-earth-free magnets — alternative to China’s ~90% global production. Active federal tax credits, real facilities breaking ground.</w:t>
      </w:r>
    </w:p>
    <w:p>
      <w:pPr>
        <w:pStyle w:val="BodyText"/>
      </w:pPr>
      <w:r>
        <w:rPr>
          <w:b/>
          <w:bCs/>
        </w:rPr>
        <w:t xml:space="preserve">4. Aegis-Forge:</w:t>
      </w:r>
      <w:r>
        <w:t xml:space="preserve"> </w:t>
      </w:r>
      <w:r>
        <w:t xml:space="preserve">Thermal-cascade inductive separator recovers indium, yttrium, cobalt, titanium from end-of-life. 15-30% lifecycle cost recovery.</w:t>
      </w:r>
    </w:p>
    <w:p>
      <w:r>
        <w:pict>
          <v:rect style="width:0;height:1.5pt" o:hralign="center" o:hrstd="t" o:hr="t"/>
        </w:pict>
      </w:r>
    </w:p>
    <w:bookmarkEnd w:id="19"/>
    <w:bookmarkStart w:id="20" w:name="p8-the-human-body-in-the-data"/>
    <w:p>
      <w:pPr>
        <w:pStyle w:val="Heading2"/>
      </w:pPr>
      <w:r>
        <w:t xml:space="preserve">P8 — THE HUMAN BODY IN THE DATA</w:t>
      </w:r>
    </w:p>
    <w:p>
      <w:pPr>
        <w:pStyle w:val="FirstParagraph"/>
      </w:pPr>
      <w:r>
        <w:rPr>
          <w:b/>
          <w:bCs/>
        </w:rPr>
        <w:t xml:space="preserve">1. Vibration standard:</w:t>
      </w:r>
      <w:r>
        <w:t xml:space="preserve"> </w:t>
      </w:r>
      <w:r>
        <w:t xml:space="preserve">ISO 5349 (updated Dec 2025 with shock/impulse metric). Lower-cost wearable sensor validated for exposure monitoring.</w:t>
      </w:r>
    </w:p>
    <w:p>
      <w:pPr>
        <w:pStyle w:val="BodyText"/>
      </w:pPr>
      <w:r>
        <w:rPr>
          <w:b/>
          <w:bCs/>
        </w:rPr>
        <w:t xml:space="preserve">2. Molecular mechanism:</w:t>
      </w:r>
      <w:r>
        <w:t xml:space="preserve"> </w:t>
      </w:r>
      <w:r>
        <w:t xml:space="preserve">Piezo1 (mechanosensitive protein) explains at cellular level why sustained vibration damages blood vessels.</w:t>
      </w:r>
    </w:p>
    <w:p>
      <w:pPr>
        <w:pStyle w:val="BodyText"/>
      </w:pPr>
      <w:r>
        <w:rPr>
          <w:b/>
          <w:bCs/>
        </w:rPr>
        <w:t xml:space="preserve">3. Defibrillation:</w:t>
      </w:r>
      <w:r>
        <w:t xml:space="preserve"> </w:t>
      </w:r>
      <w:r>
        <w:t xml:space="preserve">DSED and Vector-Change approaches for refractory VF — active clinical evidence base.</w:t>
      </w:r>
    </w:p>
    <w:p>
      <w:pPr>
        <w:pStyle w:val="BodyText"/>
      </w:pPr>
      <w:r>
        <w:rPr>
          <w:b/>
          <w:bCs/>
        </w:rPr>
        <w:t xml:space="preserve">4. Acoustic diagnostics:</w:t>
      </w:r>
      <w:r>
        <w:t xml:space="preserve"> </w:t>
      </w:r>
      <w:r>
        <w:t xml:space="preserve">Ultrasonic Doppler vibrometry for coronary artery disease.</w:t>
      </w:r>
    </w:p>
    <w:p>
      <w:pPr>
        <w:pStyle w:val="BodyText"/>
      </w:pPr>
      <w:r>
        <w:rPr>
          <w:b/>
          <w:bCs/>
        </w:rPr>
        <w:t xml:space="preserve">5. Why hardware company did this:</w:t>
      </w:r>
      <w:r>
        <w:t xml:space="preserve"> </w:t>
      </w:r>
      <w:r>
        <w:t xml:space="preserve">Every product contacts a human body. Biomechanical homework came first.</w:t>
      </w:r>
    </w:p>
    <w:p>
      <w:r>
        <w:pict>
          <v:rect style="width:0;height:1.5pt" o:hralign="center" o:hrstd="t" o:hr="t"/>
        </w:pict>
      </w:r>
    </w:p>
    <w:bookmarkEnd w:id="20"/>
    <w:bookmarkStart w:id="21" w:name="p9-why-we-built-all-of-this"/>
    <w:p>
      <w:pPr>
        <w:pStyle w:val="Heading2"/>
      </w:pPr>
      <w:r>
        <w:t xml:space="preserve">P9 — WHY WE BUILT ALL OF THIS</w:t>
      </w:r>
    </w:p>
    <w:p>
      <w:pPr>
        <w:pStyle w:val="FirstParagraph"/>
      </w:pPr>
      <w:r>
        <w:rPr>
          <w:b/>
          <w:bCs/>
        </w:rPr>
        <w:t xml:space="preserve">The Honest Business Case:</w:t>
      </w:r>
      <w:r>
        <w:t xml:space="preserve"> </w:t>
      </w:r>
      <w:r>
        <w:t xml:space="preserve">Hazard is real, well-documented, under-addressed relative to insurance pricing (Lloyd’s: $2.4T global, $0.6-2.6T N. American). Building hardware, materials, and protocols is both a genuine engineering opportunity and the right thing to be doing in 2026 at this solar cycle peak.</w:t>
      </w:r>
    </w:p>
    <w:p>
      <w:pPr>
        <w:pStyle w:val="BodyText"/>
      </w:pPr>
      <w:r>
        <w:rPr>
          <w:b/>
          <w:bCs/>
        </w:rPr>
        <w:t xml:space="preserve">How to Reach Us:</w:t>
      </w:r>
      <w:r>
        <w:t xml:space="preserve"> </w:t>
      </w:r>
      <w:r>
        <w:t xml:space="preserve">Reply identifying which part (1-8) is relevant. If you received a tailored sector briefing, follow its specific next steps. Researchers, journalists, skeptics: tell us what we got wrong — Data Sacred principle means we’d rather be corrected now than quoted inaccurately later.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Mini Compendium | 9 parts compressed from full CSMGeneralOutreach series | June 2026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1"/>
    <w:bookmarkStart w:id="22" w:name="links-contact"/>
    <w:p>
      <w:pPr>
        <w:pStyle w:val="Heading2"/>
      </w:pPr>
      <w:r>
        <w:t xml:space="preserve">Links &amp; Contact</w:t>
      </w:r>
    </w:p>
    <w:p>
      <w:pPr>
        <w:pStyle w:val="FirstParagraph"/>
      </w:pPr>
      <w:r>
        <w:rPr>
          <w:b/>
          <w:bCs/>
        </w:rPr>
        <w:t xml:space="preserve">Compendium:</w:t>
      </w:r>
      <w:r>
        <w:t xml:space="preserve"> </w:t>
      </w:r>
      <w:r>
        <w:t xml:space="preserve">https://github.com/ZirconiaAegisC/CarrPod/blob/main/CSMGeneralOutreach/CSMGeneralOutreach-COMPILED-Compendium.md</w:t>
      </w:r>
    </w:p>
    <w:p>
      <w:pPr>
        <w:pStyle w:val="BodyText"/>
      </w:pPr>
      <w:r>
        <w:rPr>
          <w:b/>
          <w:bCs/>
        </w:rPr>
        <w:t xml:space="preserve">Web:</w:t>
      </w:r>
      <w:r>
        <w:t xml:space="preserve"> </w:t>
      </w:r>
      <w:r>
        <w:t xml:space="preserve">www.CarrPod.Net</w:t>
      </w:r>
      <w:r>
        <w:t xml:space="preserve"> </w:t>
      </w:r>
      <w:r>
        <w:rPr>
          <w:b/>
          <w:bCs/>
        </w:rPr>
        <w:t xml:space="preserve">Email:</w:t>
      </w:r>
      <w:r>
        <w:t xml:space="preserve"> </w:t>
      </w:r>
      <w:r>
        <w:t xml:space="preserve">Zirconia@AegisC.Space | JasonBrodsky@Hotmail.com</w:t>
      </w:r>
    </w:p>
    <w:p>
      <w:pPr>
        <w:pStyle w:val="BodyText"/>
      </w:pPr>
      <w:r>
        <w:t xml:space="preserve">— Carrington Storm Motors | Safe Pod Engineering Company</w:t>
      </w:r>
      <w:r>
        <w:t xml:space="preserve"> </w:t>
      </w:r>
      <w:r>
        <w:rPr>
          <w:i/>
          <w:iCs/>
        </w:rPr>
        <w:t xml:space="preserve">CSMEval01 | June 2026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CSMEval01 Combined Email Body</dc:title>
  <dc:creator/>
  <cp:keywords/>
  <dcterms:created xsi:type="dcterms:W3CDTF">2026-07-03T03:30:42Z</dcterms:created>
  <dcterms:modified xsi:type="dcterms:W3CDTF">2026-07-03T03:30:42Z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2026-06-01</vt:lpwstr>
  </property>
</Properties>
</file>