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CSMEval02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three-part briefing packet on physical-layer, non-conductive</w:t>
      </w:r>
      <w:r>
        <w:t xml:space="preserve"> </w:t>
      </w:r>
      <w:r>
        <w:t xml:space="preserve">grid-hardening components (composite transmission structures, dielectric</w:t>
      </w:r>
      <w:r>
        <w:t xml:space="preserve"> </w:t>
      </w:r>
      <w:r>
        <w:t xml:space="preserve">substation fencing, and a passive area GIC monitor) developed by Carrington</w:t>
      </w:r>
      <w:r>
        <w:t xml:space="preserve"> </w:t>
      </w:r>
      <w:r>
        <w:t xml:space="preserve">Storm Motors’ engineering group, framed specifically as a complement to</w:t>
      </w:r>
      <w:r>
        <w:t xml:space="preserve"> </w:t>
      </w:r>
      <w:r>
        <w:t xml:space="preserve">existing TPL-007/EOP-010 modeling rather than a replacement for it. Given</w:t>
      </w:r>
      <w:r>
        <w:t xml:space="preserve"> </w:t>
      </w:r>
      <w:r>
        <w:t xml:space="preserve">NERC’s active review following the May 2024 Gannon Storm, I wanted this in</w:t>
      </w:r>
      <w:r>
        <w:t xml:space="preserve"> </w:t>
      </w:r>
      <w:r>
        <w:t xml:space="preserve">front of the right technical audience while that review is still open.</w:t>
      </w:r>
    </w:p>
    <w:p>
      <w:pPr>
        <w:pStyle w:val="BodyText"/>
      </w:pPr>
      <w:r>
        <w:t xml:space="preserve">Happy to route this through whichever working group is most appropriate — my</w:t>
      </w:r>
      <w:r>
        <w:t xml:space="preserve"> </w:t>
      </w:r>
      <w:r>
        <w:t xml:space="preserve">guess would be the GMD Task Force, but you’d know better than I would.</w:t>
      </w:r>
    </w:p>
    <w:p>
      <w:pPr>
        <w:pStyle w:val="BodyText"/>
      </w:pPr>
      <w:r>
        <w:t xml:space="preserve">Grateful for the work your group does making</w:t>
      </w:r>
      <w:r>
        <w:t xml:space="preserve"> </w:t>
      </w:r>
      <w:r>
        <w:t xml:space="preserve">“the grid held”</w:t>
      </w:r>
      <w:r>
        <w:t xml:space="preserve"> </w:t>
      </w:r>
      <w:r>
        <w:t xml:space="preserve">something we can</w:t>
      </w:r>
      <w:r>
        <w:t xml:space="preserve"> </w:t>
      </w:r>
      <w:r>
        <w:t xml:space="preserve">say with actual confidence, not just hope.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2-compiled-briefing-packet"/>
    <w:p>
      <w:pPr>
        <w:pStyle w:val="Heading1"/>
      </w:pPr>
      <w:r>
        <w:t xml:space="preserve">CSMEval02 — COMPILED BRIEFING PACKET</w:t>
      </w:r>
    </w:p>
    <w:bookmarkStart w:id="10" w:name="X6b19633c148b8d3568edcc84374d44e4010a25d"/>
    <w:p>
      <w:pPr>
        <w:pStyle w:val="Heading2"/>
      </w:pPr>
      <w:r>
        <w:t xml:space="preserve">Electric Grid Reliability Regulators &amp; Agencies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Electric Grid Reliability Regulators &amp; Agencies sector (CSMEval02), in reading</w:t>
      </w:r>
      <w:r>
        <w:t xml:space="preserve"> </w:t>
      </w:r>
      <w:r>
        <w:t xml:space="preserve">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Physical-Layer, Non-Conductive Grid Hardening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The Gannon Storm Was the Practice 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Where This Data Actually Wants to Go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Grid Infrastructure Division | "Systems Up. People Up. Always."</w:t>
      </w:r>
    </w:p>
    <w:p>
      <w:pPr>
        <w:pStyle w:val="FirstParagraph"/>
      </w:pPr>
      <w:r>
        <w:t xml:space="preserve">Let’s start with a confession: nobody has ever fallen in love with a monopole.</w:t>
      </w:r>
      <w:r>
        <w:t xml:space="preserve"> </w:t>
      </w:r>
      <w:r>
        <w:t xml:space="preserve">That’s fine. That’s not the job. The job of a transmission structure is to be</w:t>
      </w:r>
      <w:r>
        <w:t xml:space="preserve"> </w:t>
      </w:r>
      <w:r>
        <w:t xml:space="preserve">extremely, reliably, boringly good at holding a wire in the air — right up</w:t>
      </w:r>
      <w:r>
        <w:t xml:space="preserve"> </w:t>
      </w:r>
      <w:r>
        <w:t xml:space="preserve">until a coronal mass ejection asks that wire to also behave like an antenna,</w:t>
      </w:r>
      <w:r>
        <w:t xml:space="preserve"> </w:t>
      </w:r>
      <w:r>
        <w:t xml:space="preserve">at which point</w:t>
      </w:r>
      <w:r>
        <w:t xml:space="preserve"> </w:t>
      </w:r>
      <w:r>
        <w:t xml:space="preserve">“boring”</w:t>
      </w:r>
      <w:r>
        <w:t xml:space="preserve"> </w:t>
      </w:r>
      <w:r>
        <w:t xml:space="preserve">becomes the single most valuable property a structure</w:t>
      </w:r>
      <w:r>
        <w:t xml:space="preserve"> </w:t>
      </w:r>
      <w:r>
        <w:t xml:space="preserve">can have. (Genuinely — in this line of work,</w:t>
      </w:r>
      <w:r>
        <w:t xml:space="preserve"> </w:t>
      </w:r>
      <w:r>
        <w:t xml:space="preserve">“boring”</w:t>
      </w:r>
      <w:r>
        <w:t xml:space="preserve"> </w:t>
      </w:r>
      <w:r>
        <w:t xml:space="preserve">is the compliment.) Three</w:t>
      </w:r>
      <w:r>
        <w:t xml:space="preserve"> </w:t>
      </w:r>
      <w:r>
        <w:t xml:space="preserve">pieces of hardware below are boring in exactly the right way.</w:t>
      </w:r>
    </w:p>
    <w:p>
      <w:pPr>
        <w:pStyle w:val="SourceCode"/>
      </w:pPr>
      <w:r>
        <w:rPr>
          <w:rStyle w:val="VerbatimChar"/>
        </w:rPr>
        <w:t xml:space="preserve">             PHYSICAL-LAYER, NON-CONDUCTIVE GRID HARDENING</w:t>
      </w:r>
      <w:r>
        <w:br/>
      </w:r>
      <w:r>
        <w:rPr>
          <w:rStyle w:val="VerbatimChar"/>
        </w:rPr>
        <w:t xml:space="preserve">             CSMEval02-A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three CSM physical-hardening components positioned to complement —</w:t>
      </w:r>
      <w:r>
        <w:t xml:space="preserve"> </w:t>
      </w:r>
      <w:r>
        <w:t xml:space="preserve">not replace — existing NERC TPL-007/EOP-010 GIC modeling and thermal-impact</w:t>
      </w:r>
      <w:r>
        <w:t xml:space="preserve"> </w:t>
      </w:r>
      <w:r>
        <w:t xml:space="preserve">assessment work.</w:t>
      </w:r>
    </w:p>
    <w:p>
      <w:pPr>
        <w:numPr>
          <w:ilvl w:val="0"/>
          <w:numId w:val="1002"/>
        </w:numPr>
      </w:pPr>
      <w:r>
        <w:t xml:space="preserve">AEGIS POWER LINE MONOPOLE (CSMFAB0105)</w:t>
      </w:r>
      <w:r>
        <w:t xml:space="preserve"> </w:t>
      </w:r>
      <w:r>
        <w:t xml:space="preserve">Composite (non-metallic) transmission structure. Removes the structure</w:t>
      </w:r>
      <w:r>
        <w:t xml:space="preserve"> </w:t>
      </w:r>
      <w:r>
        <w:t xml:space="preserve">itself as a GIC current path, addressing tower/monopole vulnerability</w:t>
      </w:r>
      <w:r>
        <w:t xml:space="preserve"> </w:t>
      </w:r>
      <w:r>
        <w:t xml:space="preserve">independent of the conductor and transformer mitigation already covered</w:t>
      </w:r>
      <w:r>
        <w:t xml:space="preserve"> </w:t>
      </w:r>
      <w:r>
        <w:t xml:space="preserve">by TPL-007 system studies.</w:t>
      </w:r>
    </w:p>
    <w:p>
      <w:pPr>
        <w:numPr>
          <w:ilvl w:val="0"/>
          <w:numId w:val="1002"/>
        </w:numPr>
      </w:pPr>
      <w:r>
        <w:t xml:space="preserve">AEGIS DIELECTRIC FENCING (CSMFAB0104)</w:t>
      </w:r>
      <w:r>
        <w:t xml:space="preserve"> </w:t>
      </w:r>
      <w:r>
        <w:t xml:space="preserve">Non-conductive substation perimeter fencing. Targets substation/perimeter</w:t>
      </w:r>
      <w:r>
        <w:t xml:space="preserve"> </w:t>
      </w:r>
      <w:r>
        <w:t xml:space="preserve">conductive-hazard exposure — a physical-security-adjacent, electrically-</w:t>
      </w:r>
      <w:r>
        <w:t xml:space="preserve"> </w:t>
      </w:r>
      <w:r>
        <w:t xml:space="preserve">adjacent gap that sits outside most existing GIC system models, which</w:t>
      </w:r>
      <w:r>
        <w:t xml:space="preserve"> </w:t>
      </w:r>
      <w:r>
        <w:t xml:space="preserve">typically stop at the transformer and bus level.</w:t>
      </w:r>
    </w:p>
    <w:p>
      <w:pPr>
        <w:numPr>
          <w:ilvl w:val="0"/>
          <w:numId w:val="1002"/>
        </w:numPr>
      </w:pPr>
      <w:r>
        <w:t xml:space="preserve">CHROMATIC FIELD MONITOR (CSMFAB021)</w:t>
      </w:r>
      <w:r>
        <w:t xml:space="preserve"> </w:t>
      </w:r>
      <w:r>
        <w:t xml:space="preserve">Passive EMF/GIC area detector, positioned as a lower-cost complement to</w:t>
      </w:r>
      <w:r>
        <w:t xml:space="preserve"> </w:t>
      </w:r>
      <w:r>
        <w:t xml:space="preserve">full SUNBURST-class monitoring instrumentation — intended for broader,</w:t>
      </w:r>
      <w:r>
        <w:t xml:space="preserve"> </w:t>
      </w:r>
      <w:r>
        <w:t xml:space="preserve">denser deployment across substation fleets where full magnetometer-grade</w:t>
      </w:r>
      <w:r>
        <w:t xml:space="preserve"> </w:t>
      </w:r>
      <w:r>
        <w:t xml:space="preserve">sensors aren’t budgeted, feeding early local anomaly signal rather than</w:t>
      </w:r>
      <w:r>
        <w:t xml:space="preserve"> </w:t>
      </w:r>
      <w:r>
        <w:t xml:space="preserve">replacing EPRI’s SUNBURST network’s system-level data.</w:t>
      </w:r>
    </w:p>
    <w:p>
      <w:pPr>
        <w:pStyle w:val="FirstParagraph"/>
      </w:pPr>
      <w:r>
        <w:t xml:space="preserve">WHERE THIS FITS YOUR EXISTING COMPLIANCE WORK</w:t>
      </w:r>
      <w:r>
        <w:t xml:space="preserve"> </w:t>
      </w:r>
      <w:r>
        <w:t xml:space="preserve">None of the three above is a substitute for TPL-007 Category P1-P7 planning</w:t>
      </w:r>
      <w:r>
        <w:t xml:space="preserve"> </w:t>
      </w:r>
      <w:r>
        <w:t xml:space="preserve">event studies, EOP-010 operating procedures, or EPRI’s GIC/harmonic modeling.</w:t>
      </w:r>
      <w:r>
        <w:t xml:space="preserve"> </w:t>
      </w:r>
      <w:r>
        <w:t xml:space="preserve">They are physical-hardening and low-cost-monitoring options that sit downstream</w:t>
      </w:r>
      <w:r>
        <w:t xml:space="preserve"> </w:t>
      </w:r>
      <w:r>
        <w:t xml:space="preserve">of your modeling — the kind of thing a utility implements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vulnerability assessment identifies where hardening capital should go.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quantifies the specific event record — including the three-day</w:t>
      </w:r>
      <w:r>
        <w:t xml:space="preserve"> </w:t>
      </w:r>
      <w:r>
        <w:t xml:space="preserve">Gannon Storm operating period — that makes this an active, not theoretical,</w:t>
      </w:r>
      <w:r>
        <w:t xml:space="preserve"> </w:t>
      </w:r>
      <w:r>
        <w:t xml:space="preserve">engineering conversation.</w:t>
      </w:r>
    </w:p>
    <w:p>
      <w:pPr>
        <w:pStyle w:val="BodyText"/>
      </w:pPr>
      <w:r>
        <w:t xml:space="preserve">None of this replaces your modeling. All of it is meant to be a good answer to what your modeling finds.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"Fiscal Clarity, Human Warmth"</w:t>
      </w:r>
    </w:p>
    <w:p>
      <w:pPr>
        <w:pStyle w:val="FirstParagraph"/>
      </w:pPr>
      <w:r>
        <w:t xml:space="preserve">Here’s a sentence I want you to read twice: the grid held during the Gannon</w:t>
      </w:r>
      <w:r>
        <w:t xml:space="preserve"> </w:t>
      </w:r>
      <w:r>
        <w:t xml:space="preserve">Storm, and that is the good news, and it is also — stay with me — the single</w:t>
      </w:r>
      <w:r>
        <w:t xml:space="preserve"> </w:t>
      </w:r>
      <w:r>
        <w:t xml:space="preserve">most alarming sentence in this entire briefing. It held during a three-day</w:t>
      </w:r>
      <w:r>
        <w:t xml:space="preserve"> </w:t>
      </w:r>
      <w:r>
        <w:t xml:space="preserve">G3-to-G5 oscillation that still managed to damage transformers, voltage-support</w:t>
      </w:r>
      <w:r>
        <w:t xml:space="preserve"> </w:t>
      </w:r>
      <w:r>
        <w:t xml:space="preserve">equipment, breakers, and harmonic filters across the system. (Imagine your</w:t>
      </w:r>
      <w:r>
        <w:t xml:space="preserve"> </w:t>
      </w:r>
      <w:r>
        <w:t xml:space="preserve">smoke detector going off, the building not burning down, and everyone</w:t>
      </w:r>
      <w:r>
        <w:t xml:space="preserve"> </w:t>
      </w:r>
      <w:r>
        <w:t xml:space="preserve">concluding smoke detectors are unnecessary. That is, structurally, the risk in</w:t>
      </w:r>
      <w:r>
        <w:t xml:space="preserve"> </w:t>
      </w:r>
      <w:r>
        <w:t xml:space="preserve">treating</w:t>
      </w:r>
      <w:r>
        <w:t xml:space="preserve"> </w:t>
      </w:r>
      <w:r>
        <w:t xml:space="preserve">“the grid held”</w:t>
      </w:r>
      <w:r>
        <w:t xml:space="preserve"> </w:t>
      </w:r>
      <w:r>
        <w:t xml:space="preserve">as</w:t>
      </w:r>
      <w:r>
        <w:t xml:space="preserve"> </w:t>
      </w:r>
      <w:r>
        <w:t xml:space="preserve">“the grid is fine.”</w:t>
      </w:r>
      <w:r>
        <w:t xml:space="preserve">) NERC opened a formal review of</w:t>
      </w:r>
      <w:r>
        <w:t xml:space="preserve"> </w:t>
      </w:r>
      <w:r>
        <w:t xml:space="preserve">that event. That review is open right now. That is your door, propped open,</w:t>
      </w:r>
      <w:r>
        <w:t xml:space="preserve"> </w:t>
      </w:r>
      <w:r>
        <w:t xml:space="preserve">mid-storm, by the regulator itself.</w:t>
      </w:r>
    </w:p>
    <w:p>
      <w:pPr>
        <w:pStyle w:val="SourceCode"/>
      </w:pPr>
      <w:r>
        <w:rPr>
          <w:rStyle w:val="VerbatimChar"/>
        </w:rPr>
        <w:t xml:space="preserve">             THE GANNON STORM WAS THE PRACTICE ROUND</w:t>
      </w:r>
      <w:r>
        <w:br/>
      </w:r>
      <w:r>
        <w:rPr>
          <w:rStyle w:val="VerbatimChar"/>
        </w:rPr>
        <w:t xml:space="preserve">             CSMEval02-B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NERC’s active post-Gannon-Storm review, combined with the</w:t>
      </w:r>
      <w:r>
        <w:t xml:space="preserve"> </w:t>
      </w:r>
      <w:r>
        <w:t xml:space="preserve">confirmed Solar Cycle 25 peak, places grid-hardening research in a live</w:t>
      </w:r>
      <w:r>
        <w:t xml:space="preserve"> </w:t>
      </w:r>
      <w:r>
        <w:t xml:space="preserve">regulatory-update window rather than a speculative future scenario.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NERC Standard TPL-007 (GMD Planned Performance) and EOP-010 (GMD Operations)</w:t>
      </w:r>
      <w:r>
        <w:t xml:space="preserve"> </w:t>
      </w:r>
      <w:r>
        <w:t xml:space="preserve">are mandatory under FERC Order No. 851 — this is a compliance obligation,</w:t>
      </w:r>
      <w:r>
        <w:t xml:space="preserve"> </w:t>
      </w:r>
      <w:r>
        <w:t xml:space="preserve">not a voluntary best practice.</w:t>
      </w:r>
      <w:r>
        <w:t xml:space="preserve"> </w:t>
      </w:r>
      <w:r>
        <w:t xml:space="preserve">• May 2024 Gannon Storm: reliability coordinators and transmission operators</w:t>
      </w:r>
      <w:r>
        <w:t xml:space="preserve"> </w:t>
      </w:r>
      <w:r>
        <w:t xml:space="preserve">ran pre-arranged GMD operating procedures across a three-day G3-to-G5</w:t>
      </w:r>
      <w:r>
        <w:t xml:space="preserve"> </w:t>
      </w:r>
      <w:r>
        <w:t xml:space="preserve">oscillation. The system held. Isolated impacts to large power transformers,</w:t>
      </w:r>
      <w:r>
        <w:t xml:space="preserve"> </w:t>
      </w:r>
      <w:r>
        <w:t xml:space="preserve">voltage-support equipment, transmission breakers, and harmonic filters were</w:t>
      </w:r>
      <w:r>
        <w:t xml:space="preserve"> </w:t>
      </w:r>
      <w:r>
        <w:t xml:space="preserve">recorded.</w:t>
      </w:r>
      <w:r>
        <w:t xml:space="preserve"> </w:t>
      </w:r>
      <w:r>
        <w:t xml:space="preserve">• EPRI’s SUNBURST GIC monitoring network logged elevated current/harmonic</w:t>
      </w:r>
      <w:r>
        <w:t xml:space="preserve"> </w:t>
      </w:r>
      <w:r>
        <w:t xml:space="preserve">levels throughout the event.</w:t>
      </w:r>
      <w:r>
        <w:t xml:space="preserve"> </w:t>
      </w:r>
      <w:r>
        <w:t xml:space="preserve">• NERC has opened a formal review of the Gannon Storm specifically to improve</w:t>
      </w:r>
      <w:r>
        <w:t xml:space="preserve"> </w:t>
      </w:r>
      <w:r>
        <w:t xml:space="preserve">TPL-007/EOP-010 guidance — an active, in-progress regulatory update cycle.</w:t>
      </w:r>
      <w:r>
        <w:t xml:space="preserve"> </w:t>
      </w:r>
      <w:r>
        <w:t xml:space="preserve">• Solar Cycle 25 confirmed peak: SSN ~137 (NOAA SWPC, Q1 2026) vs. ~115</w:t>
      </w:r>
      <w:r>
        <w:t xml:space="preserve"> </w:t>
      </w:r>
      <w:r>
        <w:t xml:space="preserve">pre-cycle forecast.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</w:t>
      </w:r>
      <w:r>
        <w:t xml:space="preserve"> </w:t>
      </w:r>
      <w:r>
        <w:t xml:space="preserve">“the grid held”</w:t>
      </w:r>
      <w:r>
        <w:t xml:space="preserve"> </w:t>
      </w:r>
      <w:r>
        <w:t xml:space="preserve">narrative can understate accumulating hardware stress</w:t>
      </w:r>
      <w:r>
        <w:t xml:space="preserve"> </w:t>
      </w:r>
      <w:r>
        <w:t xml:space="preserve">across repeated sub-catastrophic events — transformers and breakers don’t</w:t>
      </w:r>
      <w:r>
        <w:t xml:space="preserve"> </w:t>
      </w:r>
      <w:r>
        <w:t xml:space="preserve">reset to zero wear after an oscillation like Gannon’s.</w:t>
      </w:r>
      <w:r>
        <w:t xml:space="preserve"> </w:t>
      </w:r>
      <w:r>
        <w:t xml:space="preserve">• Physical-layer hardening (structures, fencing, monitoring density) sits</w:t>
      </w:r>
      <w:r>
        <w:t xml:space="preserve"> </w:t>
      </w:r>
      <w:r>
        <w:t xml:space="preserve">outside the scope of TPL-007 system studies and may be underrepresented in</w:t>
      </w:r>
      <w:r>
        <w:t xml:space="preserve"> </w:t>
      </w:r>
      <w:r>
        <w:t xml:space="preserve">post-event review submissions unless explicitly raised.</w:t>
      </w:r>
      <w:r>
        <w:t xml:space="preserve"> </w:t>
      </w:r>
      <w:r>
        <w:t xml:space="preserve">• A formal review window closes eventually — data submitted after the review</w:t>
      </w:r>
      <w:r>
        <w:t xml:space="preserve"> </w:t>
      </w:r>
      <w:r>
        <w:t xml:space="preserve">concludes has less influence on the resulting guidance revision.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specific working groups and technical venues where</w:t>
      </w:r>
      <w:r>
        <w:t xml:space="preserve"> </w:t>
      </w:r>
      <w:r>
        <w:t xml:space="preserve">this data has a real chance of reaching the review before it closes.</w:t>
      </w:r>
    </w:p>
    <w:p>
      <w:pPr>
        <w:pStyle w:val="BodyText"/>
      </w:pPr>
      <w:r>
        <w:t xml:space="preserve">The system held. Let’s make sure it holds by more than luck next time.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No pitch this time, just a map. You know your own committee structure far</w:t>
      </w:r>
      <w:r>
        <w:t xml:space="preserve"> </w:t>
      </w:r>
      <w:r>
        <w:t xml:space="preserve">better than we do — this is just us saving you the trouble of explaining it</w:t>
      </w:r>
      <w:r>
        <w:t xml:space="preserve"> </w:t>
      </w:r>
      <w:r>
        <w:t xml:space="preserve">to us first.</w:t>
      </w:r>
    </w:p>
    <w:p>
      <w:pPr>
        <w:pStyle w:val="SourceCode"/>
      </w:pPr>
      <w:r>
        <w:rPr>
          <w:rStyle w:val="VerbatimChar"/>
        </w:rPr>
        <w:t xml:space="preserve">             WHERE THIS DATA ACTUALLY WANTS TO GO</w:t>
      </w:r>
      <w:r>
        <w:br/>
      </w:r>
      <w:r>
        <w:rPr>
          <w:rStyle w:val="VerbatimChar"/>
        </w:rPr>
        <w:t xml:space="preserve">             CSMEval02-C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List the specific working groups, associations, and technical venues best</w:t>
      </w:r>
      <w:r>
        <w:t xml:space="preserve"> </w:t>
      </w:r>
      <w:r>
        <w:t xml:space="preserve">positioned to receive physical-layer GIC-hardening data ahead of NERC’s</w:t>
      </w:r>
      <w:r>
        <w:t xml:space="preserve"> </w:t>
      </w:r>
      <w:r>
        <w:t xml:space="preserve">TPL-007/EOP-010 guidance revision.</w:t>
      </w:r>
    </w:p>
    <w:p>
      <w:pPr>
        <w:pStyle w:val="BodyText"/>
      </w:pPr>
      <w:r>
        <w:t xml:space="preserve">PRIMARY CHANNEL — NERC GMD TASK FORCE / PROJECT 2013-03</w:t>
      </w:r>
      <w:r>
        <w:t xml:space="preserve"> </w:t>
      </w:r>
      <w:r>
        <w:t xml:space="preserve">The standing working group most directly responsible for GMD mitigation</w:t>
      </w:r>
      <w:r>
        <w:t xml:space="preserve"> </w:t>
      </w:r>
      <w:r>
        <w:t xml:space="preserve">standard language. Best entry point for hardening data intended to influence</w:t>
      </w:r>
      <w:r>
        <w:t xml:space="preserve"> </w:t>
      </w:r>
      <w:r>
        <w:t xml:space="preserve">the post-Gannon-Storm guidance revision specifically.</w:t>
      </w:r>
    </w:p>
    <w:p>
      <w:pPr>
        <w:pStyle w:val="BodyText"/>
      </w:pPr>
      <w:r>
        <w:t xml:space="preserve">TRADE ASSOCIATION CHANNELS (BY UTILITY OWNERSHIP TYPE)</w:t>
      </w:r>
      <w:r>
        <w:t xml:space="preserve"> </w:t>
      </w:r>
      <w:r>
        <w:t xml:space="preserve">• Edison Electric Institute (EEI) — investor-owned utilities</w:t>
      </w:r>
      <w:r>
        <w:t xml:space="preserve"> </w:t>
      </w:r>
      <w:r>
        <w:t xml:space="preserve">• American Public Power Association (APPA) — public/municipal utilities</w:t>
      </w:r>
      <w:r>
        <w:t xml:space="preserve"> </w:t>
      </w:r>
      <w:r>
        <w:t xml:space="preserve">• National Rural Electric Cooperative Association (NRECA) — cooperatives</w:t>
      </w:r>
      <w:r>
        <w:t xml:space="preserve"> </w:t>
      </w:r>
      <w:r>
        <w:t xml:space="preserve">Each represents a different ownership structure with different capital</w:t>
      </w:r>
      <w:r>
        <w:t xml:space="preserve"> </w:t>
      </w:r>
      <w:r>
        <w:t xml:space="preserve">approval processes (PUC-regulated vs. board-governed vs. member-governed) —</w:t>
      </w:r>
      <w:r>
        <w:t xml:space="preserve"> </w:t>
      </w:r>
      <w:r>
        <w:t xml:space="preserve">worth tailoring the pitch to which one you’re speaking with.</w:t>
      </w:r>
    </w:p>
    <w:p>
      <w:pPr>
        <w:pStyle w:val="BodyText"/>
      </w:pPr>
      <w:r>
        <w:t xml:space="preserve">TECHNICAL/RESEARCH CHANNEL</w:t>
      </w:r>
      <w:r>
        <w:t xml:space="preserve"> </w:t>
      </w:r>
      <w:r>
        <w:t xml:space="preserve">• EPRI GMD/SUNBURST program annual workshops — the most credible technical</w:t>
      </w:r>
      <w:r>
        <w:t xml:space="preserve"> </w:t>
      </w:r>
      <w:r>
        <w:t xml:space="preserve">venue for hardware validation data, given EPRI’s own operational role in</w:t>
      </w:r>
      <w:r>
        <w:t xml:space="preserve"> </w:t>
      </w:r>
      <w:r>
        <w:t xml:space="preserve">post-Gannon GIC monitoring.</w:t>
      </w:r>
      <w:r>
        <w:t xml:space="preserve"> </w:t>
      </w:r>
      <w:r>
        <w:t xml:space="preserve">• IEEE Power &amp; Energy Society (PES) GMD/GIC technical committees and annual</w:t>
      </w:r>
      <w:r>
        <w:t xml:space="preserve"> </w:t>
      </w:r>
      <w:r>
        <w:t xml:space="preserve">General Meeting — peer-reviewed technical presentation pathway.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EPRI GMD/SUNBURST workshop (technical credibility first)</w:t>
      </w:r>
      <w:r>
        <w:t xml:space="preserve"> </w:t>
      </w:r>
      <w:r>
        <w:t xml:space="preserve">2. NERC GMD Task Force / Project 2013-03 (regulatory relevance second)</w:t>
      </w:r>
      <w:r>
        <w:t xml:space="preserve"> </w:t>
      </w:r>
      <w:r>
        <w:t xml:space="preserve">3. EEI/APPA/NRECA (commercial adoption third, matched to utility type)</w:t>
      </w:r>
    </w:p>
    <w:p>
      <w:pPr>
        <w:pStyle w:val="BodyText"/>
      </w:pPr>
      <w:r>
        <w:t xml:space="preserve">Same committee, better inputs — that’s the whole ask.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CSMEval02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CSMEval02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CSMEval02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