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CSMEval04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short briefing packet on dual-use EM-hardening materials</w:t>
      </w:r>
      <w:r>
        <w:t xml:space="preserve"> </w:t>
      </w:r>
      <w:r>
        <w:t xml:space="preserve">research from Carrington Storm Motors — specifically, a non-inductive</w:t>
      </w:r>
      <w:r>
        <w:t xml:space="preserve"> </w:t>
      </w:r>
      <w:r>
        <w:t xml:space="preserve">composite airframe redesign study and a companion EM-hardened robotics/</w:t>
      </w:r>
      <w:r>
        <w:t xml:space="preserve"> </w:t>
      </w:r>
      <w:r>
        <w:t xml:space="preserve">anti-capture chip research thread. Both were developed against a naturally-</w:t>
      </w:r>
      <w:r>
        <w:t xml:space="preserve"> </w:t>
      </w:r>
      <w:r>
        <w:t xml:space="preserve">occurring GIC hazard case but carry direct relevance to EMP-hardening</w:t>
      </w:r>
      <w:r>
        <w:t xml:space="preserve"> </w:t>
      </w:r>
      <w:r>
        <w:t xml:space="preserve">portfolios. Happy to route this through whatever formal channel (SBIR/STTR</w:t>
      </w:r>
      <w:r>
        <w:t xml:space="preserve"> </w:t>
      </w:r>
      <w:r>
        <w:t xml:space="preserve">topic, program-manager technical exchange) is appropriate.</w:t>
      </w:r>
    </w:p>
    <w:p>
      <w:pPr>
        <w:pStyle w:val="BodyText"/>
      </w:pPr>
      <w:r>
        <w:t xml:space="preserve">Appreciate you taking a look, and no worries at all if this isn’t a fit for</w:t>
      </w:r>
      <w:r>
        <w:t xml:space="preserve"> </w:t>
      </w:r>
      <w:r>
        <w:t xml:space="preserve">current priorities.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4-compiled-briefing-packet"/>
    <w:p>
      <w:pPr>
        <w:pStyle w:val="Heading1"/>
      </w:pPr>
      <w:r>
        <w:t xml:space="preserve">CSMEval04 — COMPILED BRIEFING PACKET</w:t>
      </w:r>
    </w:p>
    <w:bookmarkStart w:id="10" w:name="Xde6881b2c0519bf4ab827d028d03513d3fee7ac"/>
    <w:p>
      <w:pPr>
        <w:pStyle w:val="Heading2"/>
      </w:pPr>
      <w:r>
        <w:t xml:space="preserve">Department of Defense, Military Branches &amp; Procurement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Department of Defense sector (CSMEval04),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Dual-Use EM-Hardening Research: Two Worked Examples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Why Dual-Use Framing, Specifically, Matters Here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Rolling Mechanisms, Not a Single Door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Defense Research Liaison Office | "Numbers In Service of People"</w:t>
      </w:r>
    </w:p>
    <w:p>
      <w:pPr>
        <w:pStyle w:val="FirstParagraph"/>
      </w:pPr>
      <w:r>
        <w:t xml:space="preserve">I know exactly what happens to unsolicited defense-technology outreach nine</w:t>
      </w:r>
      <w:r>
        <w:t xml:space="preserve"> </w:t>
      </w:r>
      <w:r>
        <w:t xml:space="preserve">times out of ten, and it involves a very tired program analyst and a delete</w:t>
      </w:r>
      <w:r>
        <w:t xml:space="preserve"> </w:t>
      </w:r>
      <w:r>
        <w:t xml:space="preserve">key. So let’s skip the theater. Below are two fully worked technology-</w:t>
      </w:r>
      <w:r>
        <w:t xml:space="preserve"> </w:t>
      </w:r>
      <w:r>
        <w:t xml:space="preserve">readiness examples, not because we expect a purchase order, but because</w:t>
      </w:r>
      <w:r>
        <w:t xml:space="preserve"> </w:t>
      </w:r>
      <w:r>
        <w:t xml:space="preserve">dual-use research is exactly the kind of thing your SBIR/STTR topic managers</w:t>
      </w:r>
      <w:r>
        <w:t xml:space="preserve"> </w:t>
      </w:r>
      <w:r>
        <w:t xml:space="preserve">are paid to keep an eye out for, and this happens to be a genuinely unusual</w:t>
      </w:r>
      <w:r>
        <w:t xml:space="preserve"> </w:t>
      </w:r>
      <w:r>
        <w:t xml:space="preserve">pair of examples.</w:t>
      </w:r>
    </w:p>
    <w:p>
      <w:pPr>
        <w:pStyle w:val="SourceCode"/>
      </w:pPr>
      <w:r>
        <w:rPr>
          <w:rStyle w:val="VerbatimChar"/>
        </w:rPr>
        <w:t xml:space="preserve">             DUAL-USE EM-HARDENING RESEARCH: TWO WORKED EXAMPLES</w:t>
      </w:r>
      <w:r>
        <w:br/>
      </w:r>
      <w:r>
        <w:rPr>
          <w:rStyle w:val="VerbatimChar"/>
        </w:rPr>
        <w:t xml:space="preserve">             CSMEval04-A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two CSM dual-use engineering research examples with direct</w:t>
      </w:r>
      <w:r>
        <w:t xml:space="preserve"> </w:t>
      </w:r>
      <w:r>
        <w:t xml:space="preserve">relevance to EMP/GIC-hardening portfolios already funded across DARPA, AFRL,</w:t>
      </w:r>
      <w:r>
        <w:t xml:space="preserve"> </w:t>
      </w:r>
      <w:r>
        <w:t xml:space="preserve">NSWC, and DTRA.</w:t>
      </w:r>
    </w:p>
    <w:p>
      <w:pPr>
        <w:numPr>
          <w:ilvl w:val="0"/>
          <w:numId w:val="1002"/>
        </w:numPr>
      </w:pPr>
      <w:r>
        <w:t xml:space="preserve">A-10 DIELECTRIC THUNDERBOLT (CIVILIAN/MILITARY REDESIGN)</w:t>
      </w:r>
      <w:r>
        <w:t xml:space="preserve"> </w:t>
      </w:r>
      <w:r>
        <w:t xml:space="preserve">A legacy A-10 Thunderbolt II airframe redesign study in non-inductive</w:t>
      </w:r>
      <w:r>
        <w:t xml:space="preserve"> </w:t>
      </w:r>
      <w:r>
        <w:t xml:space="preserve">BFRP/ceramic composite materials, developed for GIC immunity. The</w:t>
      </w:r>
      <w:r>
        <w:t xml:space="preserve"> </w:t>
      </w:r>
      <w:r>
        <w:t xml:space="preserve">underlying materials research (basalt-fiber composites, UHT ceramics)</w:t>
      </w:r>
      <w:r>
        <w:t xml:space="preserve"> </w:t>
      </w:r>
      <w:r>
        <w:t xml:space="preserve">is the same class of research applicable to EMP-hardening of legacy</w:t>
      </w:r>
      <w:r>
        <w:t xml:space="preserve"> </w:t>
      </w:r>
      <w:r>
        <w:t xml:space="preserve">airframes generally — a naturally occurring-hazard study with a directed-</w:t>
      </w:r>
      <w:r>
        <w:t xml:space="preserve"> </w:t>
      </w:r>
      <w:r>
        <w:t xml:space="preserve">energy-hazard dual-use path.</w:t>
      </w:r>
    </w:p>
    <w:p>
      <w:pPr>
        <w:numPr>
          <w:ilvl w:val="0"/>
          <w:numId w:val="1002"/>
        </w:numPr>
      </w:pPr>
      <w:r>
        <w:t xml:space="preserve">PHANTOM MK-1 AEGIS ROBOT + ANTI-CAPTURE CHIP SYSTEM</w:t>
      </w:r>
      <w:r>
        <w:t xml:space="preserve"> </w:t>
      </w:r>
      <w:r>
        <w:t xml:space="preserve">An EM-hardened humanoid ground robot developed under an explicit</w:t>
      </w:r>
      <w:r>
        <w:t xml:space="preserve"> </w:t>
      </w:r>
      <w:r>
        <w:t xml:space="preserve">“Project AEGIS”</w:t>
      </w:r>
      <w:r>
        <w:t xml:space="preserve"> </w:t>
      </w:r>
      <w:r>
        <w:t xml:space="preserve">framework, paired with a companion anti-capture/</w:t>
      </w:r>
      <w:r>
        <w:t xml:space="preserve"> </w:t>
      </w:r>
      <w:r>
        <w:t xml:space="preserve">self-destruct chip architecture for forward-deployed robotics —</w:t>
      </w:r>
      <w:r>
        <w:t xml:space="preserve"> </w:t>
      </w:r>
      <w:r>
        <w:t xml:space="preserve">addressing both survivability (EM hardening) and security (anti-</w:t>
      </w:r>
      <w:r>
        <w:t xml:space="preserve"> </w:t>
      </w:r>
      <w:r>
        <w:t xml:space="preserve">reverse-engineering) in a single research thread.</w:t>
      </w:r>
    </w:p>
    <w:p>
      <w:pPr>
        <w:pStyle w:val="FirstParagraph"/>
      </w:pPr>
      <w:r>
        <w:t xml:space="preserve">WHY WE’RE SHOWING YOU THIS AND NOT A UTILITY COMPANY</w:t>
      </w:r>
      <w:r>
        <w:t xml:space="preserve"> </w:t>
      </w:r>
      <w:r>
        <w:t xml:space="preserve">Naturally-occurring GIC and directed-energy/HEMP effects overlap enough in</w:t>
      </w:r>
      <w:r>
        <w:t xml:space="preserve"> </w:t>
      </w:r>
      <w:r>
        <w:t xml:space="preserve">their engineering requirements that materials research developed for one has</w:t>
      </w:r>
      <w:r>
        <w:t xml:space="preserve"> </w:t>
      </w:r>
      <w:r>
        <w:t xml:space="preserve">real value for the other — this is precisely the kind of dual-use logic</w:t>
      </w:r>
      <w:r>
        <w:t xml:space="preserve"> </w:t>
      </w:r>
      <w:r>
        <w:t xml:space="preserve">SBIR/STTR solicitations are designed to surface.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the specific funding mechanisms and rolling solicitation</w:t>
      </w:r>
      <w:r>
        <w:t xml:space="preserve"> </w:t>
      </w:r>
      <w:r>
        <w:t xml:space="preserve">windows where this kind of dual-use research package is actually reviewed.</w:t>
      </w:r>
    </w:p>
    <w:p>
      <w:pPr>
        <w:pStyle w:val="BodyText"/>
      </w:pPr>
      <w:r>
        <w:t xml:space="preserve">Not a pitch for a contract. A flag for a topic manager who might already be looking for exactly this.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Defense Research Liaison Office | "The Books Reflect the Mission"</w:t>
      </w:r>
    </w:p>
    <w:p>
      <w:pPr>
        <w:pStyle w:val="FirstParagraph"/>
      </w:pPr>
      <w:r>
        <w:t xml:space="preserve">Most of this outreach series is built around a hazard case — a storm, a</w:t>
      </w:r>
      <w:r>
        <w:t xml:space="preserve"> </w:t>
      </w:r>
      <w:r>
        <w:t xml:space="preserve">deadline, a regulation. This one is built around a funding-mechanism case</w:t>
      </w:r>
      <w:r>
        <w:t xml:space="preserve"> </w:t>
      </w:r>
      <w:r>
        <w:t xml:space="preserve">instead, because the honest truth is that</w:t>
      </w:r>
      <w:r>
        <w:t xml:space="preserve"> </w:t>
      </w:r>
      <w:r>
        <w:t xml:space="preserve">“the sun might do something bad</w:t>
      </w:r>
      <w:r>
        <w:t xml:space="preserve"> </w:t>
      </w:r>
      <w:r>
        <w:t xml:space="preserve">someday”</w:t>
      </w:r>
      <w:r>
        <w:t xml:space="preserve"> </w:t>
      </w:r>
      <w:r>
        <w:t xml:space="preserve">isn’t, by itself, a defense-procurement argument. What is a</w:t>
      </w:r>
      <w:r>
        <w:t xml:space="preserve"> </w:t>
      </w:r>
      <w:r>
        <w:t xml:space="preserve">defense-procurement argument: research that solves two problems (a natural</w:t>
      </w:r>
      <w:r>
        <w:t xml:space="preserve"> </w:t>
      </w:r>
      <w:r>
        <w:t xml:space="preserve">hazard and a directed-energy hazard) with one materials program, at a moment</w:t>
      </w:r>
      <w:r>
        <w:t xml:space="preserve"> </w:t>
      </w:r>
      <w:r>
        <w:t xml:space="preserve">when budget offices are actively rewarded for finding exactly that kind of</w:t>
      </w:r>
      <w:r>
        <w:t xml:space="preserve"> </w:t>
      </w:r>
      <w:r>
        <w:t xml:space="preserve">efficiency.</w:t>
      </w:r>
    </w:p>
    <w:p>
      <w:pPr>
        <w:pStyle w:val="SourceCode"/>
      </w:pPr>
      <w:r>
        <w:rPr>
          <w:rStyle w:val="VerbatimChar"/>
        </w:rPr>
        <w:t xml:space="preserve">             WHY DUAL-USE FRAMING SPECIFICALLY MATTERS HERE</w:t>
      </w:r>
      <w:r>
        <w:br/>
      </w:r>
      <w:r>
        <w:rPr>
          <w:rStyle w:val="VerbatimChar"/>
        </w:rPr>
        <w:t xml:space="preserve">             CSMEval04-B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dual-use (natural-hazard / directed-energy-hazard) framing, not</w:t>
      </w:r>
      <w:r>
        <w:t xml:space="preserve"> </w:t>
      </w:r>
      <w:r>
        <w:t xml:space="preserve">urgency framing, is the correct case for this sector, and why that framing has</w:t>
      </w:r>
      <w:r>
        <w:t xml:space="preserve"> </w:t>
      </w:r>
      <w:r>
        <w:t xml:space="preserve">institutional receptivity right now.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Naturally-occurring Carrington-class GIC and directed-energy/HEMP weapons</w:t>
      </w:r>
      <w:r>
        <w:t xml:space="preserve"> </w:t>
      </w:r>
      <w:r>
        <w:t xml:space="preserve">effects produce overlapping engineering requirements — materials hardened</w:t>
      </w:r>
      <w:r>
        <w:t xml:space="preserve"> </w:t>
      </w:r>
      <w:r>
        <w:t xml:space="preserve">against one class of effect frequently have direct relevance to the other.</w:t>
      </w:r>
      <w:r>
        <w:t xml:space="preserve"> </w:t>
      </w:r>
      <w:r>
        <w:t xml:space="preserve">• Legacy platforms (aircraft, ground vehicles, shipboard systems) represent</w:t>
      </w:r>
      <w:r>
        <w:t xml:space="preserve"> </w:t>
      </w:r>
      <w:r>
        <w:t xml:space="preserve">large existing EM-vulnerability surfaces that are expensive to redesign from</w:t>
      </w:r>
      <w:r>
        <w:t xml:space="preserve"> </w:t>
      </w:r>
      <w:r>
        <w:t xml:space="preserve">scratch but are natural candidates for materials-substitution retrofits.</w:t>
      </w:r>
      <w:r>
        <w:t xml:space="preserve"> </w:t>
      </w:r>
      <w:r>
        <w:t xml:space="preserve">• DARPA, AFRL, and service Rapid Capabilities Offices maintain standing</w:t>
      </w:r>
      <w:r>
        <w:t xml:space="preserve"> </w:t>
      </w:r>
      <w:r>
        <w:t xml:space="preserve">interest in dual-use materials research precisely because it stretches a</w:t>
      </w:r>
      <w:r>
        <w:t xml:space="preserve"> </w:t>
      </w:r>
      <w:r>
        <w:t xml:space="preserve">single R&amp;D dollar across two threat categories.</w:t>
      </w:r>
      <w:r>
        <w:t xml:space="preserve"> </w:t>
      </w:r>
      <w:r>
        <w:t xml:space="preserve">• SBIR/STTR is a rolling, standing mechanism — there is no single hard</w:t>
      </w:r>
      <w:r>
        <w:t xml:space="preserve"> </w:t>
      </w:r>
      <w:r>
        <w:t xml:space="preserve">deadline to miss, which lowers the cost of engaging early.</w:t>
      </w:r>
    </w:p>
    <w:p>
      <w:pPr>
        <w:pStyle w:val="BodyText"/>
      </w:pPr>
      <w:r>
        <w:t xml:space="preserve">RISKS / CONCERNS IF UNADDRESSED (FROM OUR SIDE, NOT YOURS)</w:t>
      </w:r>
      <w:r>
        <w:t xml:space="preserve"> </w:t>
      </w:r>
      <w:r>
        <w:t xml:space="preserve">• Dual-use research presented with civilian/naturally-occurring framing alone</w:t>
      </w:r>
      <w:r>
        <w:t xml:space="preserve"> </w:t>
      </w:r>
      <w:r>
        <w:t xml:space="preserve">risks being screened out by reviewers looking specifically for</w:t>
      </w:r>
      <w:r>
        <w:t xml:space="preserve"> </w:t>
      </w:r>
      <w:r>
        <w:t xml:space="preserve">directed-energy relevance — hence leading with the dual-use case explicitly</w:t>
      </w:r>
      <w:r>
        <w:t xml:space="preserve"> </w:t>
      </w:r>
      <w:r>
        <w:t xml:space="preserve">in this briefing rather than assuming it’s obvious.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specific offices and solicitation cycles where a</w:t>
      </w:r>
      <w:r>
        <w:t xml:space="preserve"> </w:t>
      </w:r>
      <w:r>
        <w:t xml:space="preserve">technology-readiness package like this is actually reviewed, and the trade</w:t>
      </w:r>
      <w:r>
        <w:t xml:space="preserve"> </w:t>
      </w:r>
      <w:r>
        <w:t xml:space="preserve">events where a first conversation is most naturally had.</w:t>
      </w:r>
    </w:p>
    <w:p>
      <w:pPr>
        <w:pStyle w:val="BodyText"/>
      </w:pPr>
      <w:r>
        <w:t xml:space="preserve">Two problems, one materials program — that’s the whole argument, stated plainly.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Defense procurement doesn’t have one door — it has a lot of doors, most of</w:t>
      </w:r>
      <w:r>
        <w:t xml:space="preserve"> </w:t>
      </w:r>
      <w:r>
        <w:t xml:space="preserve">them clearly labeled, which is honestly more courtesy than most industries</w:t>
      </w:r>
      <w:r>
        <w:t xml:space="preserve"> </w:t>
      </w:r>
      <w:r>
        <w:t xml:space="preserve">extend a newcomer. Here’s which ones fit a materials-research package like</w:t>
      </w:r>
      <w:r>
        <w:t xml:space="preserve"> </w:t>
      </w:r>
      <w:r>
        <w:t xml:space="preserve">this one.</w:t>
      </w:r>
    </w:p>
    <w:p>
      <w:pPr>
        <w:pStyle w:val="SourceCode"/>
      </w:pPr>
      <w:r>
        <w:rPr>
          <w:rStyle w:val="VerbatimChar"/>
        </w:rPr>
        <w:t xml:space="preserve">             ROLLING MECHANISMS, NOT A SINGLE DOOR</w:t>
      </w:r>
      <w:r>
        <w:br/>
      </w:r>
      <w:r>
        <w:rPr>
          <w:rStyle w:val="VerbatimChar"/>
        </w:rPr>
        <w:t xml:space="preserve">             CSMEval04-C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List the specific funding mechanisms, program offices, and trade events best</w:t>
      </w:r>
      <w:r>
        <w:t xml:space="preserve"> </w:t>
      </w:r>
      <w:r>
        <w:t xml:space="preserve">positioned to receive a dual-use EM-hardening materials research package.</w:t>
      </w:r>
    </w:p>
    <w:p>
      <w:pPr>
        <w:pStyle w:val="BodyText"/>
      </w:pPr>
      <w:r>
        <w:t xml:space="preserve">FUNDING MECHANISMS</w:t>
      </w:r>
      <w:r>
        <w:t xml:space="preserve"> </w:t>
      </w:r>
      <w:r>
        <w:t xml:space="preserve">• SBIR/STTR (DoD-wide, rolling topic releases) — the standard first-contact</w:t>
      </w:r>
      <w:r>
        <w:t xml:space="preserve"> </w:t>
      </w:r>
      <w:r>
        <w:t xml:space="preserve">mechanism for a small research organization; Phase I is explicitly designed</w:t>
      </w:r>
      <w:r>
        <w:t xml:space="preserve"> </w:t>
      </w:r>
      <w:r>
        <w:t xml:space="preserve">for exactly this kind of early-stage technology-readiness package.</w:t>
      </w:r>
      <w:r>
        <w:t xml:space="preserve"> </w:t>
      </w:r>
      <w:r>
        <w:t xml:space="preserve">• DARPA Defense Sciences Office / Materials Program — program-manager</w:t>
      </w:r>
      <w:r>
        <w:t xml:space="preserve"> </w:t>
      </w:r>
      <w:r>
        <w:t xml:space="preserve">technical exchange is the appropriate first contact, not a formal proposal.</w:t>
      </w:r>
      <w:r>
        <w:t xml:space="preserve"> </w:t>
      </w:r>
      <w:r>
        <w:t xml:space="preserve">• AFRL Directed Energy Directorate, EMP Hardening Branch — relevant given the</w:t>
      </w:r>
      <w:r>
        <w:t xml:space="preserve"> </w:t>
      </w:r>
      <w:r>
        <w:t xml:space="preserve">A-10 redesign’s materials overlap with EMP-hardening research.</w:t>
      </w:r>
    </w:p>
    <w:p>
      <w:pPr>
        <w:pStyle w:val="BodyText"/>
      </w:pPr>
      <w:r>
        <w:t xml:space="preserve">TRADE / TECHNICAL EVENTS</w:t>
      </w:r>
      <w:r>
        <w:t xml:space="preserve"> </w:t>
      </w:r>
      <w:r>
        <w:t xml:space="preserve">• National Defense Industrial Association (NDIA) — broad defense-industrial</w:t>
      </w:r>
      <w:r>
        <w:t xml:space="preserve"> </w:t>
      </w:r>
      <w:r>
        <w:t xml:space="preserve">base networking and technical-symposium venue.</w:t>
      </w:r>
      <w:r>
        <w:t xml:space="preserve"> </w:t>
      </w:r>
      <w:r>
        <w:t xml:space="preserve">• AFCEA (Armed Forces Communications and Electronics Association) —</w:t>
      </w:r>
      <w:r>
        <w:t xml:space="preserve"> </w:t>
      </w:r>
      <w:r>
        <w:t xml:space="preserve">particularly relevant given CSM’s Protonic Communication and robotics</w:t>
      </w:r>
      <w:r>
        <w:t xml:space="preserve"> </w:t>
      </w:r>
      <w:r>
        <w:t xml:space="preserve">research threads.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Identify the current SBIR/STTR solicitation cycle with a materials or</w:t>
      </w:r>
      <w:r>
        <w:t xml:space="preserve"> </w:t>
      </w:r>
      <w:r>
        <w:t xml:space="preserve">EM-hardening topic area open.</w:t>
      </w:r>
      <w:r>
        <w:t xml:space="preserve"> </w:t>
      </w:r>
      <w:r>
        <w:t xml:space="preserve">2. Submit a Phase I proposal referencing the dual-use case in Briefing B.</w:t>
      </w:r>
      <w:r>
        <w:t xml:space="preserve"> </w:t>
      </w:r>
      <w:r>
        <w:t xml:space="preserve">3. In parallel, pursue an informal DARPA/AFRL program-manager technical</w:t>
      </w:r>
      <w:r>
        <w:t xml:space="preserve"> </w:t>
      </w:r>
      <w:r>
        <w:t xml:space="preserve">exchange — these conversations often happen before, not instead of, a</w:t>
      </w:r>
      <w:r>
        <w:t xml:space="preserve"> </w:t>
      </w:r>
      <w:r>
        <w:t xml:space="preserve">formal proposal.</w:t>
      </w:r>
      <w:r>
        <w:t xml:space="preserve"> </w:t>
      </w:r>
      <w:r>
        <w:t xml:space="preserve">4. Use NDIA/AFCEA events for the networking layer that makes step 3 possible.</w:t>
      </w:r>
    </w:p>
    <w:p>
      <w:pPr>
        <w:pStyle w:val="BodyText"/>
      </w:pPr>
      <w:r>
        <w:t xml:space="preserve">Rolling mechanism, rolling patience — we’re not in a hurry, we’re just in the queue.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CSMEval04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CSMEval04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CSMEval04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