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CSMEval06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summarizing NERC’s documented historical record</w:t>
      </w:r>
      <w:r>
        <w:t xml:space="preserve"> </w:t>
      </w:r>
      <w:r>
        <w:t xml:space="preserve">of GMD-related transformer and equipment incidents at four U.S. nuclear</w:t>
      </w:r>
      <w:r>
        <w:t xml:space="preserve"> </w:t>
      </w:r>
      <w:r>
        <w:t xml:space="preserve">plants (Maine Yankee, Salem 1/2, Seabrook, Hope Creek) across three solar</w:t>
      </w:r>
      <w:r>
        <w:t xml:space="preserve"> </w:t>
      </w:r>
      <w:r>
        <w:t xml:space="preserve">cycles, alongside a non-conductive switchyard and balance-of-plant hardening</w:t>
      </w:r>
      <w:r>
        <w:t xml:space="preserve"> </w:t>
      </w:r>
      <w:r>
        <w:t xml:space="preserve">package from Carrington Storm Motors designed against that specific failure</w:t>
      </w:r>
      <w:r>
        <w:t xml:space="preserve"> </w:t>
      </w:r>
      <w:r>
        <w:t xml:space="preserve">mode. We would welcome the opportunity to present this at the next NRC</w:t>
      </w:r>
      <w:r>
        <w:t xml:space="preserve"> </w:t>
      </w:r>
      <w:r>
        <w:t xml:space="preserve">Regulatory Information Conference or through EPRI’s Nuclear Sector program.</w:t>
      </w:r>
    </w:p>
    <w:p>
      <w:pPr>
        <w:pStyle w:val="BodyText"/>
      </w:pPr>
      <w:r>
        <w:t xml:space="preserve">Thank you for the work of holding a standard where</w:t>
      </w:r>
      <w:r>
        <w:t xml:space="preserve"> </w:t>
      </w:r>
      <w:r>
        <w:t xml:space="preserve">“probably fine”</w:t>
      </w:r>
      <w:r>
        <w:t xml:space="preserve"> </w:t>
      </w:r>
      <w:r>
        <w:t xml:space="preserve">has never</w:t>
      </w:r>
      <w:r>
        <w:t xml:space="preserve"> </w:t>
      </w:r>
      <w:r>
        <w:t xml:space="preserve">been good enough.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06-compiled-briefing-packet"/>
    <w:p>
      <w:pPr>
        <w:pStyle w:val="Heading1"/>
      </w:pPr>
      <w:r>
        <w:t xml:space="preserve">CSMEval06 — COMPILED BRIEFING PACKET</w:t>
      </w:r>
    </w:p>
    <w:bookmarkStart w:id="10" w:name="Xc5a24d468268033f8e3e61f141e9508b604ed67"/>
    <w:p>
      <w:pPr>
        <w:pStyle w:val="Heading2"/>
      </w:pPr>
      <w:r>
        <w:t xml:space="preserve">Nuclear Regulatory Commission &amp; Nuclear Power Plant Operators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the</w:t>
      </w:r>
      <w:r>
        <w:t xml:space="preserve"> </w:t>
      </w:r>
      <w:r>
        <w:t xml:space="preserve">Nuclear Regulatory Commission sector (CSMEval06),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Non-Conductive Switchyard &amp; Balance-of-Plant Hardening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Four Plants, Three Solar Cycles, One Repeating Pattern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Presenting the Record and the Response Together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Nuclear Sector Engineering Office | "Everyone Goes Home. Every Day."</w:t>
      </w:r>
    </w:p>
    <w:p>
      <w:pPr>
        <w:pStyle w:val="FirstParagraph"/>
      </w:pPr>
      <w:r>
        <w:t xml:space="preserve">I’m going to skip the jokes in this one almost entirely, and I want you to</w:t>
      </w:r>
      <w:r>
        <w:t xml:space="preserve"> </w:t>
      </w:r>
      <w:r>
        <w:t xml:space="preserve">notice that I’m telling you that on purpose. Some rooms call for the full</w:t>
      </w:r>
      <w:r>
        <w:t xml:space="preserve"> </w:t>
      </w:r>
      <w:r>
        <w:t xml:space="preserve">register. This is not that room. Four documented transformer incidents across</w:t>
      </w:r>
      <w:r>
        <w:t xml:space="preserve"> </w:t>
      </w:r>
      <w:r>
        <w:t xml:space="preserve">three solar cycles is not a setup line — it’s a maintenance log. So: three</w:t>
      </w:r>
      <w:r>
        <w:t xml:space="preserve"> </w:t>
      </w:r>
      <w:r>
        <w:t xml:space="preserve">pieces of hardware, described plainly, that target exactly that failure mode.</w:t>
      </w:r>
    </w:p>
    <w:p>
      <w:pPr>
        <w:pStyle w:val="SourceCode"/>
      </w:pPr>
      <w:r>
        <w:rPr>
          <w:rStyle w:val="VerbatimChar"/>
        </w:rPr>
        <w:t xml:space="preserve">             NON-CONDUCTIVE SWITCHYARD &amp; BALANCE-OF-PLANT HARDENING</w:t>
      </w:r>
      <w:r>
        <w:br/>
      </w:r>
      <w:r>
        <w:rPr>
          <w:rStyle w:val="VerbatimChar"/>
        </w:rPr>
        <w:t xml:space="preserve">             CSMEval06-A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three CSM hardening components targeting the specific offsite/</w:t>
      </w:r>
      <w:r>
        <w:t xml:space="preserve"> </w:t>
      </w:r>
      <w:r>
        <w:t xml:space="preserve">onsite transformer and auxiliary-system GIC exposure documented in the</w:t>
      </w:r>
      <w:r>
        <w:t xml:space="preserve"> </w:t>
      </w:r>
      <w:r>
        <w:t xml:space="preserve">historical U.S. nuclear plant GMD incident record.</w:t>
      </w:r>
    </w:p>
    <w:p>
      <w:pPr>
        <w:numPr>
          <w:ilvl w:val="0"/>
          <w:numId w:val="1002"/>
        </w:numPr>
      </w:pPr>
      <w:r>
        <w:t xml:space="preserve">SWITCHYARD PERIMETER HARDENING</w:t>
      </w:r>
      <w:r>
        <w:t xml:space="preserve"> </w:t>
      </w:r>
      <w:r>
        <w:t xml:space="preserve">Composite (non-metallic) monopoles and dielectric perimeter fencing</w:t>
      </w:r>
      <w:r>
        <w:t xml:space="preserve"> </w:t>
      </w:r>
      <w:r>
        <w:t xml:space="preserve">(CSMFAB0105, CSMFAB0104) applied to switchyard structures — addressing</w:t>
      </w:r>
      <w:r>
        <w:t xml:space="preserve"> </w:t>
      </w:r>
      <w:r>
        <w:t xml:space="preserve">the structure-level GIC path independent of transformer-level mitigation</w:t>
      </w:r>
      <w:r>
        <w:t xml:space="preserve"> </w:t>
      </w:r>
      <w:r>
        <w:t xml:space="preserve">already covered by plant-specific GIC studies.</w:t>
      </w:r>
    </w:p>
    <w:p>
      <w:pPr>
        <w:numPr>
          <w:ilvl w:val="0"/>
          <w:numId w:val="1002"/>
        </w:numPr>
      </w:pPr>
      <w:r>
        <w:t xml:space="preserve">NON-CONDUCTIVE AUXILIARY WIRING AND MOTOR DESIGN</w:t>
      </w:r>
      <w:r>
        <w:t xml:space="preserve"> </w:t>
      </w:r>
      <w:r>
        <w:t xml:space="preserve">GIC-safe wiring and piezoelectric/pneumatic motor design concepts</w:t>
      </w:r>
      <w:r>
        <w:t xml:space="preserve"> </w:t>
      </w:r>
      <w:r>
        <w:t xml:space="preserve">(CSMFAB013, CSMFAB020) for auxiliary systems — targeting balance-of-plant</w:t>
      </w:r>
      <w:r>
        <w:t xml:space="preserve"> </w:t>
      </w:r>
      <w:r>
        <w:t xml:space="preserve">equipment that sits outside primary safety-system design-basis</w:t>
      </w:r>
      <w:r>
        <w:t xml:space="preserve"> </w:t>
      </w:r>
      <w:r>
        <w:t xml:space="preserve">requirements but still represents an availability and equipment-protection</w:t>
      </w:r>
      <w:r>
        <w:t xml:space="preserve"> </w:t>
      </w:r>
      <w:r>
        <w:t xml:space="preserve">concern.</w:t>
      </w:r>
    </w:p>
    <w:p>
      <w:pPr>
        <w:numPr>
          <w:ilvl w:val="0"/>
          <w:numId w:val="1002"/>
        </w:numPr>
      </w:pPr>
      <w:r>
        <w:t xml:space="preserve">CHROMATIC FIELD MONITOR</w:t>
      </w:r>
      <w:r>
        <w:t xml:space="preserve"> </w:t>
      </w:r>
      <w:r>
        <w:t xml:space="preserve">Passive, low-power GIC/EMF area monitor (CSMFAB021) for switchyard and</w:t>
      </w:r>
      <w:r>
        <w:t xml:space="preserve"> </w:t>
      </w:r>
      <w:r>
        <w:t xml:space="preserve">site-perimeter deployment — a lower-cost complement to full magnetometer-</w:t>
      </w:r>
      <w:r>
        <w:t xml:space="preserve"> </w:t>
      </w:r>
      <w:r>
        <w:t xml:space="preserve">grade instrumentation, intended for denser deployment across a plant</w:t>
      </w:r>
      <w:r>
        <w:t xml:space="preserve"> </w:t>
      </w:r>
      <w:r>
        <w:t xml:space="preserve">fleet.</w:t>
      </w:r>
    </w:p>
    <w:p>
      <w:pPr>
        <w:pStyle w:val="FirstParagraph"/>
      </w:pPr>
      <w:r>
        <w:t xml:space="preserve">WHAT THIS IS NOT</w:t>
      </w:r>
      <w:r>
        <w:t xml:space="preserve"> </w:t>
      </w:r>
      <w:r>
        <w:t xml:space="preserve">This is not a safety-system redesign proposal, and nothing here is presented</w:t>
      </w:r>
      <w:r>
        <w:t xml:space="preserve"> </w:t>
      </w:r>
      <w:r>
        <w:t xml:space="preserve">as a substitute for any NRC-required design-basis analysis. This is</w:t>
      </w:r>
      <w:r>
        <w:t xml:space="preserve"> </w:t>
      </w:r>
      <w:r>
        <w:t xml:space="preserve">balance-of-plant and switchyard hardware positioned to reduce the specific</w:t>
      </w:r>
      <w:r>
        <w:t xml:space="preserve"> </w:t>
      </w:r>
      <w:r>
        <w:t xml:space="preserve">transformer/auxiliary-equipment failure mode already documented in NERC’s own</w:t>
      </w:r>
      <w:r>
        <w:t xml:space="preserve"> </w:t>
      </w:r>
      <w:r>
        <w:t xml:space="preserve">historical GMD-impact record.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lays out that historical record in full, plant by plant, because</w:t>
      </w:r>
      <w:r>
        <w:t xml:space="preserve"> </w:t>
      </w:r>
      <w:r>
        <w:t xml:space="preserve">data like this deserves to be looked at directly rather than summarized away.</w:t>
      </w:r>
    </w:p>
    <w:p>
      <w:pPr>
        <w:pStyle w:val="BodyText"/>
      </w:pPr>
      <w:r>
        <w:t xml:space="preserve">Plain hardware, plainly described, for a plant that has never had the luxury of</w:t>
      </w:r>
      <w:r>
        <w:t xml:space="preserve"> </w:t>
      </w:r>
      <w:r>
        <w:t xml:space="preserve">“probably fine.”</w:t>
      </w:r>
      <w:r>
        <w:t xml:space="preserve"> </w:t>
      </w:r>
      <w:r>
        <w:t xml:space="preserve">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"Safety Is Not A Metric. It's A Commitment."</w:t>
      </w:r>
    </w:p>
    <w:p>
      <w:pPr>
        <w:pStyle w:val="FirstParagraph"/>
      </w:pPr>
      <w:r>
        <w:t xml:space="preserve">No cold open this time. Just the record.</w:t>
      </w:r>
    </w:p>
    <w:p>
      <w:pPr>
        <w:pStyle w:val="SourceCode"/>
      </w:pPr>
      <w:r>
        <w:rPr>
          <w:rStyle w:val="VerbatimChar"/>
        </w:rPr>
        <w:t xml:space="preserve">             FOUR PLANTS, THREE SOLAR CYCLES, ONE REPEATING PATTERN</w:t>
      </w:r>
      <w:r>
        <w:br/>
      </w:r>
      <w:r>
        <w:rPr>
          <w:rStyle w:val="VerbatimChar"/>
        </w:rPr>
        <w:t xml:space="preserve">             CSMEval06-B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Present the documented historical record of GMD-related electrical incidents</w:t>
      </w:r>
      <w:r>
        <w:t xml:space="preserve"> </w:t>
      </w:r>
      <w:r>
        <w:t xml:space="preserve">at U.S. nuclear plants, and why Solar Cycle 25’s confirmed peak returns the</w:t>
      </w:r>
      <w:r>
        <w:t xml:space="preserve"> </w:t>
      </w:r>
      <w:r>
        <w:t xml:space="preserve">fleet to the exposure window this record describes.</w:t>
      </w:r>
    </w:p>
    <w:p>
      <w:pPr>
        <w:pStyle w:val="BodyText"/>
      </w:pPr>
      <w:r>
        <w:t xml:space="preserve">KEY FACTS — THE HISTORICAL RECORD</w:t>
      </w:r>
      <w:r>
        <w:t xml:space="preserve"> </w:t>
      </w:r>
      <w:r>
        <w:t xml:space="preserve">• Maine Yankee — transformer damage/failure events in March 1989 and again in</w:t>
      </w:r>
      <w:r>
        <w:t xml:space="preserve"> </w:t>
      </w:r>
      <w:r>
        <w:t xml:space="preserve">April 1991 (two separate solar cycles’ worth of recurrence at the same</w:t>
      </w:r>
      <w:r>
        <w:t xml:space="preserve"> </w:t>
      </w:r>
      <w:r>
        <w:t xml:space="preserve">site).</w:t>
      </w:r>
      <w:r>
        <w:t xml:space="preserve"> </w:t>
      </w:r>
      <w:r>
        <w:t xml:space="preserve">• Salem Unit 1 and Salem Unit 2 — transformer-related incidents in March and</w:t>
      </w:r>
      <w:r>
        <w:t xml:space="preserve"> </w:t>
      </w:r>
      <w:r>
        <w:t xml:space="preserve">September 1989.</w:t>
      </w:r>
      <w:r>
        <w:t xml:space="preserve"> </w:t>
      </w:r>
      <w:r>
        <w:t xml:space="preserve">• Seabrook — a vibration-related event in November 1998.</w:t>
      </w:r>
      <w:r>
        <w:t xml:space="preserve"> </w:t>
      </w:r>
      <w:r>
        <w:t xml:space="preserve">• Hope Creek — downrated to 55% power in July 2000.</w:t>
      </w:r>
      <w:r>
        <w:t xml:space="preserve"> </w:t>
      </w:r>
      <w:r>
        <w:t xml:space="preserve">• This spans three solar cycles (roughly Cycles 22 through 23), meaning the</w:t>
      </w:r>
      <w:r>
        <w:t xml:space="preserve"> </w:t>
      </w:r>
      <w:r>
        <w:t xml:space="preserve">pattern is not a single-event anomaly — it is a repeating exposure that</w:t>
      </w:r>
      <w:r>
        <w:t xml:space="preserve"> </w:t>
      </w:r>
      <w:r>
        <w:t xml:space="preserve">correlates with geomagnetic storm activity across multiple solar maxima.</w:t>
      </w:r>
      <w:r>
        <w:t xml:space="preserve"> </w:t>
      </w:r>
      <w:r>
        <w:t xml:space="preserve">• Solar Cycle 25’s confirmed SSN ~137 peak (NOAA SWPC, Q1 2026) places current</w:t>
      </w:r>
      <w:r>
        <w:t xml:space="preserve"> </w:t>
      </w:r>
      <w:r>
        <w:t xml:space="preserve">conditions back inside the activity range associated with this historical</w:t>
      </w:r>
      <w:r>
        <w:t xml:space="preserve"> </w:t>
      </w:r>
      <w:r>
        <w:t xml:space="preserve">record.</w:t>
      </w:r>
      <w:r>
        <w:t xml:space="preserve"> </w:t>
      </w:r>
      <w:r>
        <w:t xml:space="preserve">• Nuclear plants carry the lowest acceptable tolerance for GIC-related</w:t>
      </w:r>
      <w:r>
        <w:t xml:space="preserve"> </w:t>
      </w:r>
      <w:r>
        <w:t xml:space="preserve">electrical anomaly of any sector in this outreach series: a loss-of-offsite-</w:t>
      </w:r>
      <w:r>
        <w:t xml:space="preserve"> </w:t>
      </w:r>
      <w:r>
        <w:t xml:space="preserve">power event initiates emergency diesel generator dependency and, in</w:t>
      </w:r>
      <w:r>
        <w:t xml:space="preserve"> </w:t>
      </w:r>
      <w:r>
        <w:t xml:space="preserve">worst-case cascades, core-cooling risk.</w:t>
      </w:r>
    </w:p>
    <w:p>
      <w:pPr>
        <w:pStyle w:val="BodyText"/>
      </w:pPr>
      <w:r>
        <w:t xml:space="preserve">WHY THIS RECORD MATTERS NOW, SPECIFICALLY</w:t>
      </w:r>
      <w:r>
        <w:t xml:space="preserve"> </w:t>
      </w:r>
      <w:r>
        <w:t xml:space="preserve">• A four-incident, three-cycle historical record is exactly the kind of</w:t>
      </w:r>
      <w:r>
        <w:t xml:space="preserve"> </w:t>
      </w:r>
      <w:r>
        <w:t xml:space="preserve">pattern that regulatory and industry technical-exchange venues (NRC RIC,</w:t>
      </w:r>
      <w:r>
        <w:t xml:space="preserve"> </w:t>
      </w:r>
      <w:r>
        <w:t xml:space="preserve">EPRI Nuclear Sector) are built to review and act on.</w:t>
      </w:r>
      <w:r>
        <w:t xml:space="preserve"> </w:t>
      </w:r>
      <w:r>
        <w:t xml:space="preserve">• This is not a hypothetical hardening pitch — it is a hardware response to</w:t>
      </w:r>
      <w:r>
        <w:t xml:space="preserve"> </w:t>
      </w:r>
      <w:r>
        <w:t xml:space="preserve">an already-documented failure mode.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the specific venues — NRC RIC chief among them — where</w:t>
      </w:r>
      <w:r>
        <w:t xml:space="preserve"> </w:t>
      </w:r>
      <w:r>
        <w:t xml:space="preserve">this record and the hardening options in Briefing A are best presented</w:t>
      </w:r>
      <w:r>
        <w:t xml:space="preserve"> </w:t>
      </w:r>
      <w:r>
        <w:t xml:space="preserve">together.</w:t>
      </w:r>
    </w:p>
    <w:p>
      <w:pPr>
        <w:pStyle w:val="BodyText"/>
      </w:pPr>
      <w:r>
        <w:t xml:space="preserve">The record doesn’t need embellishing. It needs an answer.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"People First. Results Follow."</w:t>
      </w:r>
    </w:p>
    <w:p>
      <w:pPr>
        <w:pStyle w:val="FirstParagraph"/>
      </w:pPr>
      <w:r>
        <w:t xml:space="preserve">One venue matters more than the rest here, and we’d rather tell you that</w:t>
      </w:r>
      <w:r>
        <w:t xml:space="preserve"> </w:t>
      </w:r>
      <w:r>
        <w:t xml:space="preserve">directly than bury it in a list of six options that all look equally weighted.</w:t>
      </w:r>
    </w:p>
    <w:p>
      <w:pPr>
        <w:pStyle w:val="SourceCode"/>
      </w:pPr>
      <w:r>
        <w:rPr>
          <w:rStyle w:val="VerbatimChar"/>
        </w:rPr>
        <w:t xml:space="preserve">             PRESENTING THE RECORD AND THE RESPONSE TOGETHER</w:t>
      </w:r>
      <w:r>
        <w:br/>
      </w:r>
      <w:r>
        <w:rPr>
          <w:rStyle w:val="VerbatimChar"/>
        </w:rPr>
        <w:t xml:space="preserve">             CSMEval06-C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primary and secondary venues for presenting the historical GMD</w:t>
      </w:r>
      <w:r>
        <w:t xml:space="preserve"> </w:t>
      </w:r>
      <w:r>
        <w:t xml:space="preserve">incident record (Briefing B) alongside the hardening response (Briefing A) to</w:t>
      </w:r>
      <w:r>
        <w:t xml:space="preserve"> </w:t>
      </w:r>
      <w:r>
        <w:t xml:space="preserve">the nuclear regulatory and operator community.</w:t>
      </w:r>
    </w:p>
    <w:p>
      <w:pPr>
        <w:pStyle w:val="BodyText"/>
      </w:pPr>
      <w:r>
        <w:t xml:space="preserve">PRIMARY VENUE — NRC REGULATORY INFORMATION CONFERENCE (RIC)</w:t>
      </w:r>
      <w:r>
        <w:t xml:space="preserve"> </w:t>
      </w:r>
      <w:r>
        <w:t xml:space="preserve">The annual, primary NRC/industry technical-exchange venue. This is the venue</w:t>
      </w:r>
      <w:r>
        <w:t xml:space="preserve"> </w:t>
      </w:r>
      <w:r>
        <w:t xml:space="preserve">where a documented historical failure pattern and a corresponding hardware</w:t>
      </w:r>
      <w:r>
        <w:t xml:space="preserve"> </w:t>
      </w:r>
      <w:r>
        <w:t xml:space="preserve">response belong in the same room, in front of both regulators and operators</w:t>
      </w:r>
      <w:r>
        <w:t xml:space="preserve"> </w:t>
      </w:r>
      <w:r>
        <w:t xml:space="preserve">simultaneously.</w:t>
      </w:r>
    </w:p>
    <w:p>
      <w:pPr>
        <w:pStyle w:val="BodyText"/>
      </w:pPr>
      <w:r>
        <w:t xml:space="preserve">SECONDARY VENUES</w:t>
      </w:r>
      <w:r>
        <w:t xml:space="preserve"> </w:t>
      </w:r>
      <w:r>
        <w:t xml:space="preserve">• Nuclear Energy Institute (NEI) — industry trade association; engage via</w:t>
      </w:r>
      <w:r>
        <w:t xml:space="preserve"> </w:t>
      </w:r>
      <w:r>
        <w:t xml:space="preserve">NEI’s regulatory-affairs working groups, particularly any group already</w:t>
      </w:r>
      <w:r>
        <w:t xml:space="preserve"> </w:t>
      </w:r>
      <w:r>
        <w:t xml:space="preserve">focused on infrastructure resilience.</w:t>
      </w:r>
      <w:r>
        <w:t xml:space="preserve"> </w:t>
      </w:r>
      <w:r>
        <w:t xml:space="preserve">• EPRI Nuclear Sector — parallel to EPRI’s grid-side GMD/SUNBURST program,</w:t>
      </w:r>
      <w:r>
        <w:t xml:space="preserve"> </w:t>
      </w:r>
      <w:r>
        <w:t xml:space="preserve">with a nuclear-specific electrical-systems research track; a natural</w:t>
      </w:r>
      <w:r>
        <w:t xml:space="preserve"> </w:t>
      </w:r>
      <w:r>
        <w:t xml:space="preserve">technical-validation partner given EPRI’s existing GIC monitoring role on</w:t>
      </w:r>
      <w:r>
        <w:t xml:space="preserve"> </w:t>
      </w:r>
      <w:r>
        <w:t xml:space="preserve">the grid side.</w:t>
      </w:r>
      <w:r>
        <w:t xml:space="preserve"> </w:t>
      </w:r>
      <w:r>
        <w:t xml:space="preserve">• American Nuclear Society (ANS) Annual Meeting — broader technical/academic</w:t>
      </w:r>
      <w:r>
        <w:t xml:space="preserve"> </w:t>
      </w:r>
      <w:r>
        <w:t xml:space="preserve">audience, useful for peer credibility alongside the more operator-focused</w:t>
      </w:r>
      <w:r>
        <w:t xml:space="preserve"> </w:t>
      </w:r>
      <w:r>
        <w:t xml:space="preserve">RIC and NEI channels.</w:t>
      </w:r>
      <w:r>
        <w:t xml:space="preserve"> </w:t>
      </w:r>
      <w:r>
        <w:t xml:space="preserve">• Institute of Nuclear Power Operations (INPO) — industry self-regulatory</w:t>
      </w:r>
      <w:r>
        <w:t xml:space="preserve"> </w:t>
      </w:r>
      <w:r>
        <w:t xml:space="preserve">body; engage via INPO’s technical-advisor channel for electrical/grid</w:t>
      </w:r>
      <w:r>
        <w:t xml:space="preserve"> </w:t>
      </w:r>
      <w:r>
        <w:t xml:space="preserve">interface topics.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EPRI Nuclear Sector (technical validation first — this strengthens</w:t>
      </w:r>
      <w:r>
        <w:t xml:space="preserve"> </w:t>
      </w:r>
      <w:r>
        <w:t xml:space="preserve">everything that follows).</w:t>
      </w:r>
      <w:r>
        <w:t xml:space="preserve"> </w:t>
      </w:r>
      <w:r>
        <w:t xml:space="preserve">2. NRC RIC (regulatory + operator audience together, the highest-value single</w:t>
      </w:r>
      <w:r>
        <w:t xml:space="preserve"> </w:t>
      </w:r>
      <w:r>
        <w:t xml:space="preserve">venue).</w:t>
      </w:r>
      <w:r>
        <w:t xml:space="preserve"> </w:t>
      </w:r>
      <w:r>
        <w:t xml:space="preserve">3. NEI and INPO (industry-adoption and best-practice channels, in parallel).</w:t>
      </w:r>
    </w:p>
    <w:p>
      <w:pPr>
        <w:pStyle w:val="BodyText"/>
      </w:pPr>
      <w:r>
        <w:t xml:space="preserve">One room, one record, one response — that’s the whole plan.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CSMEval06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CSMEval06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CSMEval06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