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CSMEval09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short briefing packet describing four CSM materials-science</w:t>
      </w:r>
      <w:r>
        <w:t xml:space="preserve"> </w:t>
      </w:r>
      <w:r>
        <w:t xml:space="preserve">research threads — UHT ceramics/composites, rare-earth-free magnets,</w:t>
      </w:r>
      <w:r>
        <w:t xml:space="preserve"> </w:t>
      </w:r>
      <w:r>
        <w:t xml:space="preserve">critical-minerals supply-chain research, and an inductive material-separation</w:t>
      </w:r>
      <w:r>
        <w:t xml:space="preserve"> </w:t>
      </w:r>
      <w:r>
        <w:t xml:space="preserve">recycling process — offered for independent technical validation rather than</w:t>
      </w:r>
      <w:r>
        <w:t xml:space="preserve"> </w:t>
      </w:r>
      <w:r>
        <w:t xml:space="preserve">adoption. If any of this overlaps with your lab’s existing portfolio, we’d</w:t>
      </w:r>
      <w:r>
        <w:t xml:space="preserve"> </w:t>
      </w:r>
      <w:r>
        <w:t xml:space="preserve">welcome a conversation through your Technology Transfer office about a</w:t>
      </w:r>
      <w:r>
        <w:t xml:space="preserve"> </w:t>
      </w:r>
      <w:r>
        <w:t xml:space="preserve">CRADA-style review.</w:t>
      </w:r>
    </w:p>
    <w:p>
      <w:pPr>
        <w:pStyle w:val="BodyText"/>
      </w:pPr>
      <w:r>
        <w:t xml:space="preserve">Whatever you find, we’d genuinely rather know.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09-compiled-briefing-packet"/>
    <w:p>
      <w:pPr>
        <w:pStyle w:val="Heading1"/>
      </w:pPr>
      <w:r>
        <w:t xml:space="preserve">CSMEval09 — COMPILED BRIEFING PACKET</w:t>
      </w:r>
    </w:p>
    <w:bookmarkStart w:id="10" w:name="X2e32706a5fc780a844b64fee08b55bf25d8785b"/>
    <w:p>
      <w:pPr>
        <w:pStyle w:val="Heading2"/>
      </w:pPr>
      <w:r>
        <w:t xml:space="preserve">National Laboratories &amp; Federally Funded R&amp;D Centers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the</w:t>
      </w:r>
      <w:r>
        <w:t xml:space="preserve"> </w:t>
      </w:r>
      <w:r>
        <w:t xml:space="preserve">National Laboratories sector (CSMEval09),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Four Materials Claims, Offered for Independent Scrutiny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Why Your Skepticism Is the Product We Actually Need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The Technology Transfer Office Is the Door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Research &amp; Applied Sciences Office | "The Books Reflect the Mission"</w:t>
      </w:r>
    </w:p>
    <w:p>
      <w:pPr>
        <w:pStyle w:val="FirstParagraph"/>
      </w:pPr>
      <w:r>
        <w:t xml:space="preserve">Here’s a genuinely refreshing kind of outreach email: one where the entire ask</w:t>
      </w:r>
      <w:r>
        <w:t xml:space="preserve"> </w:t>
      </w:r>
      <w:r>
        <w:t xml:space="preserve">is</w:t>
      </w:r>
      <w:r>
        <w:t xml:space="preserve"> </w:t>
      </w:r>
      <w:r>
        <w:t xml:space="preserve">“please try to find out if we’re wrong.”</w:t>
      </w:r>
      <w:r>
        <w:t xml:space="preserve"> </w:t>
      </w:r>
      <w:r>
        <w:t xml:space="preserve">Independent validation isn’t a</w:t>
      </w:r>
      <w:r>
        <w:t xml:space="preserve"> </w:t>
      </w:r>
      <w:r>
        <w:t xml:space="preserve">threat to a materials-science claim — it’s the only thing that turns a claim</w:t>
      </w:r>
      <w:r>
        <w:t xml:space="preserve"> </w:t>
      </w:r>
      <w:r>
        <w:t xml:space="preserve">into a fact. Four claims below, offered in exactly that spirit.</w:t>
      </w:r>
    </w:p>
    <w:p>
      <w:pPr>
        <w:pStyle w:val="SourceCode"/>
      </w:pPr>
      <w:r>
        <w:rPr>
          <w:rStyle w:val="VerbatimChar"/>
        </w:rPr>
        <w:t xml:space="preserve">             FOUR MATERIALS CLAIMS, OFFERED FOR INDEPENDENT SCRUTINY</w:t>
      </w:r>
      <w:r>
        <w:br/>
      </w:r>
      <w:r>
        <w:rPr>
          <w:rStyle w:val="VerbatimChar"/>
        </w:rPr>
        <w:t xml:space="preserve">             CSMEval09-A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four CSM materials-science research threads suited to national</w:t>
      </w:r>
      <w:r>
        <w:t xml:space="preserve"> </w:t>
      </w:r>
      <w:r>
        <w:t xml:space="preserve">laboratory technical validation and potential CRADA-style partnership.</w:t>
      </w:r>
    </w:p>
    <w:p>
      <w:pPr>
        <w:numPr>
          <w:ilvl w:val="0"/>
          <w:numId w:val="1002"/>
        </w:numPr>
      </w:pPr>
      <w:r>
        <w:t xml:space="preserve">ULTRA-HIGH-TEMPERATURE CERAMIC / COMPOSITE CLAIMS</w:t>
      </w:r>
      <w:r>
        <w:t xml:space="preserve"> </w:t>
      </w:r>
      <w:r>
        <w:t xml:space="preserve">A 6-part Materials Study documenting UHT ceramic and composite material</w:t>
      </w:r>
      <w:r>
        <w:t xml:space="preserve"> </w:t>
      </w:r>
      <w:r>
        <w:t xml:space="preserve">properties used throughout the CSM hardware corpus — a natural fit for</w:t>
      </w:r>
      <w:r>
        <w:t xml:space="preserve"> </w:t>
      </w:r>
      <w:r>
        <w:t xml:space="preserve">independent lab-scale validation.</w:t>
      </w:r>
    </w:p>
    <w:p>
      <w:pPr>
        <w:numPr>
          <w:ilvl w:val="0"/>
          <w:numId w:val="1002"/>
        </w:numPr>
      </w:pPr>
      <w:r>
        <w:t xml:space="preserve">RARE-EARTH-FREE MAGNET TECHNOLOGY</w:t>
      </w:r>
      <w:r>
        <w:t xml:space="preserve"> </w:t>
      </w:r>
      <w:r>
        <w:t xml:space="preserve">Magnet technology research aimed at reducing rare-earth dependency —</w:t>
      </w:r>
      <w:r>
        <w:t xml:space="preserve"> </w:t>
      </w:r>
      <w:r>
        <w:t xml:space="preserve">directly overlapping with DOE Critical Materials Institute’s existing</w:t>
      </w:r>
      <w:r>
        <w:t xml:space="preserve"> </w:t>
      </w:r>
      <w:r>
        <w:t xml:space="preserve">portfolio and mission.</w:t>
      </w:r>
    </w:p>
    <w:p>
      <w:pPr>
        <w:numPr>
          <w:ilvl w:val="0"/>
          <w:numId w:val="1002"/>
        </w:numPr>
      </w:pPr>
      <w:r>
        <w:t xml:space="preserve">CRITICAL-MINERALS SUPPLY CHAIN RESEARCH</w:t>
      </w:r>
      <w:r>
        <w:t xml:space="preserve"> </w:t>
      </w:r>
      <w:r>
        <w:t xml:space="preserve">Research identifying new/emerging US magnet-material producers — relevant</w:t>
      </w:r>
      <w:r>
        <w:t xml:space="preserve"> </w:t>
      </w:r>
      <w:r>
        <w:t xml:space="preserve">to critical-minerals supply-chain independence work already underway at</w:t>
      </w:r>
      <w:r>
        <w:t xml:space="preserve"> </w:t>
      </w:r>
      <w:r>
        <w:t xml:space="preserve">several national labs.</w:t>
      </w:r>
    </w:p>
    <w:p>
      <w:pPr>
        <w:numPr>
          <w:ilvl w:val="0"/>
          <w:numId w:val="1002"/>
        </w:numPr>
      </w:pPr>
      <w:r>
        <w:t xml:space="preserve">AEGIS-FORGE THERMAL CASCADE INDUCTIVE MATERIAL SEPARATOR</w:t>
      </w:r>
      <w:r>
        <w:t xml:space="preserve"> </w:t>
      </w:r>
      <w:r>
        <w:t xml:space="preserve">A materials recycling/reclamation process (critical-minerals recovery via</w:t>
      </w:r>
      <w:r>
        <w:t xml:space="preserve"> </w:t>
      </w:r>
      <w:r>
        <w:t xml:space="preserve">thermal/inductive separation) — a process-validation candidate for labs</w:t>
      </w:r>
      <w:r>
        <w:t xml:space="preserve"> </w:t>
      </w:r>
      <w:r>
        <w:t xml:space="preserve">with materials-recycling research portfolios.</w:t>
      </w:r>
    </w:p>
    <w:p>
      <w:pPr>
        <w:pStyle w:val="FirstParagraph"/>
      </w:pPr>
      <w:r>
        <w:t xml:space="preserve">WHY THIS BRIEFING READS DIFFERENTLY FROM THE REST OF THE SERIES</w:t>
      </w:r>
      <w:r>
        <w:t xml:space="preserve"> </w:t>
      </w:r>
      <w:r>
        <w:t xml:space="preserve">Every other sector in this outreach series gets asked to consider adopting</w:t>
      </w:r>
      <w:r>
        <w:t xml:space="preserve"> </w:t>
      </w:r>
      <w:r>
        <w:t xml:space="preserve">something. This sector is asked to consider testing something — and to tell</w:t>
      </w:r>
      <w:r>
        <w:t xml:space="preserve"> </w:t>
      </w:r>
      <w:r>
        <w:t xml:space="preserve">us, plainly, where it doesn’t hold up. That’s a more valuable relationship to</w:t>
      </w:r>
      <w:r>
        <w:t xml:space="preserve"> </w:t>
      </w:r>
      <w:r>
        <w:t xml:space="preserve">us than a sale would be.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explains why independent validation from this specific sector is</w:t>
      </w:r>
      <w:r>
        <w:t xml:space="preserve"> </w:t>
      </w:r>
      <w:r>
        <w:t xml:space="preserve">what gives the rest of the outreach effort its credibility.</w:t>
      </w:r>
    </w:p>
    <w:p>
      <w:pPr>
        <w:pStyle w:val="BodyText"/>
      </w:pPr>
      <w:r>
        <w:t xml:space="preserve">Test it. Break it if it breaks. We’d genuinely rather know now.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"Honest Communication, Always"</w:t>
      </w:r>
    </w:p>
    <w:p>
      <w:pPr>
        <w:pStyle w:val="FirstParagraph"/>
      </w:pPr>
      <w:r>
        <w:t xml:space="preserve">Every other briefing in this series leans on urgency. This one leans on</w:t>
      </w:r>
      <w:r>
        <w:t xml:space="preserve"> </w:t>
      </w:r>
      <w:r>
        <w:t xml:space="preserve">something almost the opposite: patience, and a genuine need to be told</w:t>
      </w:r>
      <w:r>
        <w:t xml:space="preserve"> </w:t>
      </w:r>
      <w:r>
        <w:t xml:space="preserve">“no”</w:t>
      </w:r>
      <w:r>
        <w:t xml:space="preserve"> </w:t>
      </w:r>
      <w:r>
        <w:t xml:space="preserve">by people qualified to say it. Insurers, regulators, and OEMs are all, quite</w:t>
      </w:r>
      <w:r>
        <w:t xml:space="preserve"> </w:t>
      </w:r>
      <w:r>
        <w:t xml:space="preserve">reasonably, harder to convince than an enthusiastic engineering team believing</w:t>
      </w:r>
      <w:r>
        <w:t xml:space="preserve"> </w:t>
      </w:r>
      <w:r>
        <w:t xml:space="preserve">its own numbers. Independent lab validation is what actually moves those</w:t>
      </w:r>
      <w:r>
        <w:t xml:space="preserve"> </w:t>
      </w:r>
      <w:r>
        <w:t xml:space="preserve">harder-to-convince audiences — not another confident briefing from us.</w:t>
      </w:r>
    </w:p>
    <w:p>
      <w:pPr>
        <w:pStyle w:val="SourceCode"/>
      </w:pPr>
      <w:r>
        <w:rPr>
          <w:rStyle w:val="VerbatimChar"/>
        </w:rPr>
        <w:t xml:space="preserve">             WHY YOUR SKEPTICISM IS THE PRODUCT WE ACTUALLY NEED</w:t>
      </w:r>
      <w:r>
        <w:br/>
      </w:r>
      <w:r>
        <w:rPr>
          <w:rStyle w:val="VerbatimChar"/>
        </w:rPr>
        <w:t xml:space="preserve">             CSMEval09-B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Explain why national laboratory validation, specifically, is the credibility</w:t>
      </w:r>
      <w:r>
        <w:t xml:space="preserve"> </w:t>
      </w:r>
      <w:r>
        <w:t xml:space="preserve">mechanism the rest of this outreach effort depends on.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UHT ceramics, MXene EMI coatings, rare-earth-free magnetics, and inductive</w:t>
      </w:r>
      <w:r>
        <w:t xml:space="preserve"> </w:t>
      </w:r>
      <w:r>
        <w:t xml:space="preserve">separation/recycling processes are all active national-lab research</w:t>
      </w:r>
      <w:r>
        <w:t xml:space="preserve"> </w:t>
      </w:r>
      <w:r>
        <w:t xml:space="preserve">portfolios in their own right — meaning this isn’t a novel ask outside your</w:t>
      </w:r>
      <w:r>
        <w:t xml:space="preserve"> </w:t>
      </w:r>
      <w:r>
        <w:t xml:space="preserve">existing scope of work.</w:t>
      </w:r>
      <w:r>
        <w:t xml:space="preserve"> </w:t>
      </w:r>
      <w:r>
        <w:t xml:space="preserve">• Insurers (CSMEval11), regulators (CSMEval02/06), and OEMs (CSMEval12) are</w:t>
      </w:r>
      <w:r>
        <w:t xml:space="preserve"> </w:t>
      </w:r>
      <w:r>
        <w:t xml:space="preserve">structurally harder to convince with vendor-produced data alone —</w:t>
      </w:r>
      <w:r>
        <w:t xml:space="preserve"> </w:t>
      </w:r>
      <w:r>
        <w:t xml:space="preserve">independent third-party validation is what actually changes their risk</w:t>
      </w:r>
      <w:r>
        <w:t xml:space="preserve"> </w:t>
      </w:r>
      <w:r>
        <w:t xml:space="preserve">calculus.</w:t>
      </w:r>
      <w:r>
        <w:t xml:space="preserve"> </w:t>
      </w:r>
      <w:r>
        <w:t xml:space="preserve">• DOE Critical Materials Institute’s existing mission overlaps directly with</w:t>
      </w:r>
      <w:r>
        <w:t xml:space="preserve"> </w:t>
      </w:r>
      <w:r>
        <w:t xml:space="preserve">the rare-earth-free magnet and supply-chain-independence research threads</w:t>
      </w:r>
      <w:r>
        <w:t xml:space="preserve"> </w:t>
      </w:r>
      <w:r>
        <w:t xml:space="preserve">in this corpus.</w:t>
      </w:r>
      <w:r>
        <w:t xml:space="preserve"> </w:t>
      </w:r>
      <w:r>
        <w:t xml:space="preserve">• Each national lab already maintains a formal CRADA/licensing</w:t>
      </w:r>
      <w:r>
        <w:t xml:space="preserve"> </w:t>
      </w:r>
      <w:r>
        <w:t xml:space="preserve">technology-transfer pathway — the mechanism for this kind of partnership</w:t>
      </w:r>
      <w:r>
        <w:t xml:space="preserve"> </w:t>
      </w:r>
      <w:r>
        <w:t xml:space="preserve">already exists and doesn’t require new authority.</w:t>
      </w:r>
    </w:p>
    <w:p>
      <w:pPr>
        <w:pStyle w:val="BodyText"/>
      </w:pPr>
      <w:r>
        <w:t xml:space="preserve">WHY THIS IS DIFFERENT FROM THE OTHER 34 DOSSIERS IN THIS SERIES</w:t>
      </w:r>
      <w:r>
        <w:t xml:space="preserve"> </w:t>
      </w:r>
      <w:r>
        <w:t xml:space="preserve">Every other dossier asks a sector to act on a hazard case. This one asks a</w:t>
      </w:r>
      <w:r>
        <w:t xml:space="preserve"> </w:t>
      </w:r>
      <w:r>
        <w:t xml:space="preserve">sector to check our homework — and if the homework is wrong in places, we’d</w:t>
      </w:r>
      <w:r>
        <w:t xml:space="preserve"> </w:t>
      </w:r>
      <w:r>
        <w:t xml:space="preserve">rather find out from a national lab than from an insurer’s underwriting team</w:t>
      </w:r>
      <w:r>
        <w:t xml:space="preserve"> </w:t>
      </w:r>
      <w:r>
        <w:t xml:space="preserve">six months later.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the Technology Transfer offices and materials-science</w:t>
      </w:r>
      <w:r>
        <w:t xml:space="preserve"> </w:t>
      </w:r>
      <w:r>
        <w:t xml:space="preserve">conferences where this validation relationship actually starts.</w:t>
      </w:r>
    </w:p>
    <w:p>
      <w:pPr>
        <w:pStyle w:val="BodyText"/>
      </w:pPr>
      <w:r>
        <w:t xml:space="preserve">We need to be told</w:t>
      </w:r>
      <w:r>
        <w:t xml:space="preserve"> </w:t>
      </w:r>
      <w:r>
        <w:t xml:space="preserve">“no”</w:t>
      </w:r>
      <w:r>
        <w:t xml:space="preserve"> </w:t>
      </w:r>
      <w:r>
        <w:t xml:space="preserve">by someone qualified to say it, before we’re told</w:t>
      </w:r>
      <w:r>
        <w:t xml:space="preserve"> </w:t>
      </w:r>
      <w:r>
        <w:t xml:space="preserve">“no”</w:t>
      </w:r>
      <w:r>
        <w:t xml:space="preserve"> </w:t>
      </w:r>
      <w:r>
        <w:t xml:space="preserve">by someone who isn’t being generous about it.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"Numbers In Service of People"</w:t>
      </w:r>
    </w:p>
    <w:p>
      <w:pPr>
        <w:pStyle w:val="FirstParagraph"/>
      </w:pPr>
      <w:r>
        <w:t xml:space="preserve">Every national lab already has a formal front door for exactly this kind of</w:t>
      </w:r>
      <w:r>
        <w:t xml:space="preserve"> </w:t>
      </w:r>
      <w:r>
        <w:t xml:space="preserve">conversation. We just need to knock on it correctly, which turns out to be</w:t>
      </w:r>
      <w:r>
        <w:t xml:space="preserve"> </w:t>
      </w:r>
      <w:r>
        <w:t xml:space="preserve">the easy part.</w:t>
      </w:r>
    </w:p>
    <w:p>
      <w:pPr>
        <w:pStyle w:val="SourceCode"/>
      </w:pPr>
      <w:r>
        <w:rPr>
          <w:rStyle w:val="VerbatimChar"/>
        </w:rPr>
        <w:t xml:space="preserve">             THE TECHNOLOGY TRANSFER OFFICE IS THE DOOR</w:t>
      </w:r>
      <w:r>
        <w:br/>
      </w:r>
      <w:r>
        <w:rPr>
          <w:rStyle w:val="VerbatimChar"/>
        </w:rPr>
        <w:t xml:space="preserve">             CSMEval09-C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formal technology-transfer pathways and technical conferences</w:t>
      </w:r>
      <w:r>
        <w:t xml:space="preserve"> </w:t>
      </w:r>
      <w:r>
        <w:t xml:space="preserve">best suited to initiating a national-lab validation relationship.</w:t>
      </w:r>
    </w:p>
    <w:p>
      <w:pPr>
        <w:pStyle w:val="BodyText"/>
      </w:pPr>
      <w:r>
        <w:t xml:space="preserve">PRIMARY PATHWAY — LAB TECHNOLOGY TRANSFER OFFICES</w:t>
      </w:r>
      <w:r>
        <w:t xml:space="preserve"> </w:t>
      </w:r>
      <w:r>
        <w:t xml:space="preserve">Sandia, NREL, Lawrence Livermore, Oak Ridge, and university-affiliated FFRDCs</w:t>
      </w:r>
      <w:r>
        <w:t xml:space="preserve"> </w:t>
      </w:r>
      <w:r>
        <w:t xml:space="preserve">each maintain a formal CRADA/licensing technology-transfer office — the</w:t>
      </w:r>
      <w:r>
        <w:t xml:space="preserve"> </w:t>
      </w:r>
      <w:r>
        <w:t xml:space="preserve">correct, designed-for-this-purpose entry point for proposing an independent</w:t>
      </w:r>
      <w:r>
        <w:t xml:space="preserve"> </w:t>
      </w:r>
      <w:r>
        <w:t xml:space="preserve">validation or co-development relationship.</w:t>
      </w:r>
    </w:p>
    <w:p>
      <w:pPr>
        <w:pStyle w:val="BodyText"/>
      </w:pPr>
      <w:r>
        <w:t xml:space="preserve">MATERIALS-SPECIFIC PATHWAY — DOE CRITICAL MATERIALS INSTITUTE</w:t>
      </w:r>
      <w:r>
        <w:t xml:space="preserve"> </w:t>
      </w:r>
      <w:r>
        <w:t xml:space="preserve">Direct mission overlap with the rare-earth-free magnet and supply-chain</w:t>
      </w:r>
      <w:r>
        <w:t xml:space="preserve"> </w:t>
      </w:r>
      <w:r>
        <w:t xml:space="preserve">research; engage via CMI’s annual review process.</w:t>
      </w:r>
    </w:p>
    <w:p>
      <w:pPr>
        <w:pStyle w:val="BodyText"/>
      </w:pPr>
      <w:r>
        <w:t xml:space="preserve">CONFERENCE PATHWAYS</w:t>
      </w:r>
      <w:r>
        <w:t xml:space="preserve"> </w:t>
      </w:r>
      <w:r>
        <w:t xml:space="preserve">• Materials Research Society (MRS) Spring/Fall meetings — broad</w:t>
      </w:r>
      <w:r>
        <w:t xml:space="preserve"> </w:t>
      </w:r>
      <w:r>
        <w:t xml:space="preserve">materials-science peer audience.</w:t>
      </w:r>
      <w:r>
        <w:t xml:space="preserve"> </w:t>
      </w:r>
      <w:r>
        <w:t xml:space="preserve">• American Ceramic Society (ACerS) Annual Meeting — UHT ceramics-specific</w:t>
      </w:r>
      <w:r>
        <w:t xml:space="preserve"> </w:t>
      </w:r>
      <w:r>
        <w:t xml:space="preserve">peer audience.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Identify the one or two labs whose existing portfolio most closely matches</w:t>
      </w:r>
      <w:r>
        <w:t xml:space="preserve"> </w:t>
      </w:r>
      <w:r>
        <w:t xml:space="preserve">a specific CSM materials claim (e.g., Sandia for EM effects/pulsed power,</w:t>
      </w:r>
      <w:r>
        <w:t xml:space="preserve"> </w:t>
      </w:r>
      <w:r>
        <w:t xml:space="preserve">NREL for critical materials).</w:t>
      </w:r>
      <w:r>
        <w:t xml:space="preserve"> </w:t>
      </w:r>
      <w:r>
        <w:t xml:space="preserve">2. Approach that lab’s Technology Transfer office directly with a specific,</w:t>
      </w:r>
      <w:r>
        <w:t xml:space="preserve"> </w:t>
      </w:r>
      <w:r>
        <w:t xml:space="preserve">narrow validation request — not the full corpus at once.</w:t>
      </w:r>
      <w:r>
        <w:t xml:space="preserve"> </w:t>
      </w:r>
      <w:r>
        <w:t xml:space="preserve">3. Use MRS/ACerS conference presentations to build the broader peer-review</w:t>
      </w:r>
      <w:r>
        <w:t xml:space="preserve"> </w:t>
      </w:r>
      <w:r>
        <w:t xml:space="preserve">record in parallel.</w:t>
      </w:r>
    </w:p>
    <w:p>
      <w:pPr>
        <w:pStyle w:val="BodyText"/>
      </w:pPr>
      <w:r>
        <w:t xml:space="preserve">One door, correctly knocked on, beats five doors knocked on badly.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CSMEval09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CSMEval09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CSMEval09 Combined Email Body</dc:title>
  <dc:creator/>
  <cp:keywords/>
  <dcterms:created xsi:type="dcterms:W3CDTF">2026-07-03T03:30:42Z</dcterms:created>
  <dcterms:modified xsi:type="dcterms:W3CDTF">2026-07-03T03:30:42Z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