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CSMEval10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physical GIC-hardening hardware (composite</w:t>
      </w:r>
      <w:r>
        <w:t xml:space="preserve"> </w:t>
      </w:r>
      <w:r>
        <w:t xml:space="preserve">structures, dielectric fencing, low-cost field monitoring) positioned as</w:t>
      </w:r>
      <w:r>
        <w:t xml:space="preserve"> </w:t>
      </w:r>
      <w:r>
        <w:t xml:space="preserve">direct capital-budget line items following a TPL-007 vulnerability</w:t>
      </w:r>
      <w:r>
        <w:t xml:space="preserve"> </w:t>
      </w:r>
      <w:r>
        <w:t xml:space="preserve">assessment, alongside the Lloyd’s of London figures on transformer-</w:t>
      </w:r>
      <w:r>
        <w:t xml:space="preserve"> </w:t>
      </w:r>
      <w:r>
        <w:t xml:space="preserve">replacement-timescale exposure that make the cost case. Happy to route this</w:t>
      </w:r>
      <w:r>
        <w:t xml:space="preserve"> </w:t>
      </w:r>
      <w:r>
        <w:t xml:space="preserve">through whichever venue fits your organization — EEI, NRECA TechAdvantage,</w:t>
      </w:r>
      <w:r>
        <w:t xml:space="preserve"> </w:t>
      </w:r>
      <w:r>
        <w:t xml:space="preserve">APPA, or DistribuTECH.</w:t>
      </w:r>
    </w:p>
    <w:p>
      <w:pPr>
        <w:pStyle w:val="BodyText"/>
      </w:pPr>
      <w:r>
        <w:t xml:space="preserve">Thanks for keeping the lights on through every storm that didn’t make the</w:t>
      </w:r>
      <w:r>
        <w:t xml:space="preserve"> </w:t>
      </w:r>
      <w:r>
        <w:t xml:space="preserve">news — that’s most of them, and it’s not nothing.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0-compiled-briefing-packet"/>
    <w:p>
      <w:pPr>
        <w:pStyle w:val="Heading1"/>
      </w:pPr>
      <w:r>
        <w:t xml:space="preserve">CSMEval10 — COMPILED BRIEFING PACKET</w:t>
      </w:r>
    </w:p>
    <w:bookmarkStart w:id="10" w:name="X685f46682f66ada3c1bbdeb4ad3b701b717922c"/>
    <w:p>
      <w:pPr>
        <w:pStyle w:val="Heading2"/>
      </w:pPr>
      <w:r>
        <w:t xml:space="preserve">Investor-Owned &amp; Cooperative Electric Utilities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(CSMEval10),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Turning a Vulnerability Assessment Into a Capital Line Item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Twelve-Month Number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Matched to Your Ownership Structure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Grid Infrastructure Division | "Your Technology, Our Responsibility"</w:t>
      </w:r>
    </w:p>
    <w:p>
      <w:pPr>
        <w:pStyle w:val="FirstParagraph"/>
      </w:pPr>
      <w:r>
        <w:t xml:space="preserve">Your TPL-007 assessment already told you where the risk concentrates. This</w:t>
      </w:r>
      <w:r>
        <w:t xml:space="preserve"> </w:t>
      </w:r>
      <w:r>
        <w:t xml:space="preserve">briefing is about the next line in the spreadsheet — the one where</w:t>
      </w:r>
      <w:r>
        <w:t xml:space="preserve"> </w:t>
      </w:r>
      <w:r>
        <w:t xml:space="preserve">“identified</w:t>
      </w:r>
      <w:r>
        <w:t xml:space="preserve"> </w:t>
      </w:r>
      <w:r>
        <w:t xml:space="preserve">risk”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“budgeted mitigation.”</w:t>
      </w:r>
      <w:r>
        <w:t xml:space="preserve"> </w:t>
      </w:r>
      <w:r>
        <w:t xml:space="preserve">That’s a harder sentence to write than it</w:t>
      </w:r>
      <w:r>
        <w:t xml:space="preserve"> </w:t>
      </w:r>
      <w:r>
        <w:t xml:space="preserve">sounds, so let’s make it easier.</w:t>
      </w:r>
    </w:p>
    <w:p>
      <w:pPr>
        <w:pStyle w:val="SourceCode"/>
      </w:pPr>
      <w:r>
        <w:rPr>
          <w:rStyle w:val="VerbatimChar"/>
        </w:rPr>
        <w:t xml:space="preserve">             TURNING A VULNERABILITY ASSESSMENT INTO A CAPITAL LINE ITEM</w:t>
      </w:r>
      <w:r>
        <w:br/>
      </w:r>
      <w:r>
        <w:rPr>
          <w:rStyle w:val="VerbatimChar"/>
        </w:rPr>
        <w:t xml:space="preserve">             CSMEval10-A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hardware options positioned as direct capital-budget line items</w:t>
      </w:r>
      <w:r>
        <w:t xml:space="preserve"> </w:t>
      </w:r>
      <w:r>
        <w:t xml:space="preserve">following an existing TPL-007 GIC vulnerability assessment.</w:t>
      </w:r>
    </w:p>
    <w:p>
      <w:pPr>
        <w:pStyle w:val="Compact"/>
        <w:numPr>
          <w:ilvl w:val="0"/>
          <w:numId w:val="1002"/>
        </w:numPr>
      </w:pPr>
      <w:r>
        <w:t xml:space="preserve">AEGIS POWER LINE MONOPOLE &amp; DIELECTRIC FENCING — structure- and</w:t>
      </w:r>
      <w:r>
        <w:t xml:space="preserve"> </w:t>
      </w:r>
      <w:r>
        <w:t xml:space="preserve">perimeter-level GIC path removal (CSMFAB0105, CSMFAB0104).</w:t>
      </w:r>
    </w:p>
    <w:p>
      <w:pPr>
        <w:pStyle w:val="Compact"/>
        <w:numPr>
          <w:ilvl w:val="0"/>
          <w:numId w:val="1002"/>
        </w:numPr>
      </w:pPr>
      <w:r>
        <w:t xml:space="preserve">CHROMATIC FIELD MONITOR — low-cost passive GIC/EMF field monitoring for</w:t>
      </w:r>
      <w:r>
        <w:t xml:space="preserve"> </w:t>
      </w:r>
      <w:r>
        <w:t xml:space="preserve">fleet-wide deployment density beyond full SUNBURST-class sensors</w:t>
      </w:r>
      <w:r>
        <w:t xml:space="preserve"> </w:t>
      </w:r>
      <w:r>
        <w:t xml:space="preserve">(CSMFAB021).</w:t>
      </w:r>
    </w:p>
    <w:p>
      <w:pPr>
        <w:pStyle w:val="Compact"/>
        <w:numPr>
          <w:ilvl w:val="0"/>
          <w:numId w:val="1002"/>
        </w:numPr>
      </w:pPr>
      <w:r>
        <w:t xml:space="preserve">NON-CONDUCTIVE FACILITY MATERIALS — the full Aegis Home building-materials</w:t>
      </w:r>
      <w:r>
        <w:t xml:space="preserve"> </w:t>
      </w:r>
      <w:r>
        <w:t xml:space="preserve">suite, applicable to utility-owned facilities and buildings (CSMFAB010-020).</w:t>
      </w:r>
    </w:p>
    <w:p>
      <w:pPr>
        <w:pStyle w:val="Compact"/>
        <w:numPr>
          <w:ilvl w:val="0"/>
          <w:numId w:val="1002"/>
        </w:numPr>
      </w:pPr>
      <w:r>
        <w:t xml:space="preserve">RARE-EARTH-FREE MAGNET SUPPLY OPTION — a supply-chain risk mitigation for</w:t>
      </w:r>
      <w:r>
        <w:t xml:space="preserve"> </w:t>
      </w:r>
      <w:r>
        <w:t xml:space="preserve">generator and transformer component sourcing (CSMMagEco2026).</w:t>
      </w:r>
    </w:p>
    <w:p>
      <w:pPr>
        <w:pStyle w:val="FirstParagraph"/>
      </w:pPr>
      <w:r>
        <w:t xml:space="preserve">WHY THIS IS FRAMED AS CAPEX, NOT R&amp;D</w:t>
      </w:r>
      <w:r>
        <w:t xml:space="preserve"> </w:t>
      </w:r>
      <w:r>
        <w:t xml:space="preserve">Every item above is hardware, not a research question — the ask to your</w:t>
      </w:r>
      <w:r>
        <w:t xml:space="preserve"> </w:t>
      </w:r>
      <w:r>
        <w:t xml:space="preserve">organization is a procurement decision, not a pilot-study commitment, which</w:t>
      </w:r>
      <w:r>
        <w:t xml:space="preserve"> </w:t>
      </w:r>
      <w:r>
        <w:t xml:space="preserve">is a very different conversation with your capital-planning committee.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quantifies exactly what’s at stake in dollar terms if the</w:t>
      </w:r>
      <w:r>
        <w:t xml:space="preserve"> </w:t>
      </w:r>
      <w:r>
        <w:t xml:space="preserve">transformer-replacement scenario Lloyd’s models actually happens on your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Hardware, not homework — that’s the whole difference this briefing is trying to make.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"Fiscal Clarity, Human Warmth"</w:t>
      </w:r>
    </w:p>
    <w:p>
      <w:pPr>
        <w:pStyle w:val="FirstParagraph"/>
      </w:pPr>
      <w:r>
        <w:t xml:space="preserve">One number, first, before anything else: twelve months. That’s the</w:t>
      </w:r>
      <w:r>
        <w:t xml:space="preserve"> </w:t>
      </w:r>
      <w:r>
        <w:t xml:space="preserve">transformer replacement lead time Lloyd’s of London’s modeling hinges on for</w:t>
      </w:r>
      <w:r>
        <w:t xml:space="preserve"> </w:t>
      </w:r>
      <w:r>
        <w:t xml:space="preserve">the worst-case scenario. Not twelve days. Not twelve weeks. Twelve months,</w:t>
      </w:r>
      <w:r>
        <w:t xml:space="preserve"> </w:t>
      </w:r>
      <w:r>
        <w:t xml:space="preserve">during which the thing your customers need most is exactly the thing you</w:t>
      </w:r>
      <w:r>
        <w:t xml:space="preserve"> </w:t>
      </w:r>
      <w:r>
        <w:t xml:space="preserve">can’t quickly buy more of.</w:t>
      </w:r>
    </w:p>
    <w:p>
      <w:pPr>
        <w:pStyle w:val="SourceCode"/>
      </w:pPr>
      <w:r>
        <w:rPr>
          <w:rStyle w:val="VerbatimChar"/>
        </w:rPr>
        <w:t xml:space="preserve">             THE TWELVE-MONTH NUMBER</w:t>
      </w:r>
      <w:r>
        <w:br/>
      </w:r>
      <w:r>
        <w:rPr>
          <w:rStyle w:val="VerbatimChar"/>
        </w:rPr>
        <w:t xml:space="preserve">             CSMEval10-B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Quantify the financial exposure a true Carrington-class event represents to</w:t>
      </w:r>
      <w:r>
        <w:t xml:space="preserve"> </w:t>
      </w:r>
      <w:r>
        <w:t xml:space="preserve">utility capital planning, and why probability-reduction hardware has an</w:t>
      </w:r>
      <w:r>
        <w:t xml:space="preserve"> </w:t>
      </w:r>
      <w:r>
        <w:t xml:space="preserve">outsized value proposition relative to its cost.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Lloyd’s of London’s North American grid scenario places the cost of a true</w:t>
      </w:r>
      <w:r>
        <w:t xml:space="preserve"> </w:t>
      </w:r>
      <w:r>
        <w:t xml:space="preserve">Carrington-level event at $0.6–2.6 trillion, hinging directly on transformer</w:t>
      </w:r>
      <w:r>
        <w:t xml:space="preserve"> </w:t>
      </w:r>
      <w:r>
        <w:t xml:space="preserve">replacement lead times of up to 12 months.</w:t>
      </w:r>
      <w:r>
        <w:t xml:space="preserve"> </w:t>
      </w:r>
      <w:r>
        <w:t xml:space="preserve">• TPL-007/EOP-010 compliance is an assessment/operating-procedure obligation</w:t>
      </w:r>
      <w:r>
        <w:t xml:space="preserve"> </w:t>
      </w:r>
      <w:r>
        <w:t xml:space="preserve">— it plans around consequences, but does not itself reduce the probability</w:t>
      </w:r>
      <w:r>
        <w:t xml:space="preserve"> </w:t>
      </w:r>
      <w:r>
        <w:t xml:space="preserve">of transformer damage.</w:t>
      </w:r>
      <w:r>
        <w:t xml:space="preserve"> </w:t>
      </w:r>
      <w:r>
        <w:t xml:space="preserve">• Physical hardening (structure- and perimeter-level GIC path removal) is one</w:t>
      </w:r>
      <w:r>
        <w:t xml:space="preserve"> </w:t>
      </w:r>
      <w:r>
        <w:t xml:space="preserve">of the few available levers that reduces probability rather than just</w:t>
      </w:r>
      <w:r>
        <w:t xml:space="preserve"> </w:t>
      </w:r>
      <w:r>
        <w:t xml:space="preserve">managing consequence.</w:t>
      </w:r>
      <w:r>
        <w:t xml:space="preserve"> </w:t>
      </w:r>
      <w:r>
        <w:t xml:space="preserve">• The May 2024 Gannon Storm already produced isolated transformer and</w:t>
      </w:r>
      <w:r>
        <w:t xml:space="preserve"> </w:t>
      </w:r>
      <w:r>
        <w:t xml:space="preserve">equipment stress industry-wide during a G3-to-G5 event — a preview at a</w:t>
      </w:r>
      <w:r>
        <w:t xml:space="preserve"> </w:t>
      </w:r>
      <w:r>
        <w:t xml:space="preserve">fraction of full Carrington-class severity.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 12-month replacement lead time doesn’t shrink because a rate case is</w:t>
      </w:r>
      <w:r>
        <w:t xml:space="preserve"> </w:t>
      </w:r>
      <w:r>
        <w:t xml:space="preserve">inconvenient — the physics and the supply chain are indifferent to budget</w:t>
      </w:r>
      <w:r>
        <w:t xml:space="preserve"> </w:t>
      </w:r>
      <w:r>
        <w:t xml:space="preserve">cycles.</w:t>
      </w:r>
      <w:r>
        <w:t xml:space="preserve"> </w:t>
      </w:r>
      <w:r>
        <w:t xml:space="preserve">• Capital deferred past this planning cycle carries forward the full</w:t>
      </w:r>
      <w:r>
        <w:t xml:space="preserve"> </w:t>
      </w:r>
      <w:r>
        <w:t xml:space="preserve">pre-hardening probability into the next solar maximum window.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maps this hardware onto the specific budget/rate-case cycles and</w:t>
      </w:r>
      <w:r>
        <w:t xml:space="preserve"> </w:t>
      </w:r>
      <w:r>
        <w:t xml:space="preserve">trade channels where the conversation actually needs to happen.</w:t>
      </w:r>
    </w:p>
    <w:p>
      <w:pPr>
        <w:pStyle w:val="BodyText"/>
      </w:pPr>
      <w:r>
        <w:t xml:space="preserve">Twelve months is a long time to wait for a part you could have hardened against needing.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Investor-owned, cooperative, municipal, merchant-transmission — four very</w:t>
      </w:r>
      <w:r>
        <w:t xml:space="preserve"> </w:t>
      </w:r>
      <w:r>
        <w:t xml:space="preserve">different capital-approval processes, one hardware conversation. Let’s match</w:t>
      </w:r>
      <w:r>
        <w:t xml:space="preserve"> </w:t>
      </w:r>
      <w:r>
        <w:t xml:space="preserve">the channel to the structure.</w:t>
      </w:r>
    </w:p>
    <w:p>
      <w:pPr>
        <w:pStyle w:val="SourceCode"/>
      </w:pPr>
      <w:r>
        <w:rPr>
          <w:rStyle w:val="VerbatimChar"/>
        </w:rPr>
        <w:t xml:space="preserve">             MATCHED TO YOUR OWNERSHIP STRUCTURE</w:t>
      </w:r>
      <w:r>
        <w:br/>
      </w:r>
      <w:r>
        <w:rPr>
          <w:rStyle w:val="VerbatimChar"/>
        </w:rPr>
        <w:t xml:space="preserve">             CSMEval10-C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Match outreach channel to utility ownership type, since capital-approval</w:t>
      </w:r>
      <w:r>
        <w:t xml:space="preserve"> </w:t>
      </w:r>
      <w:r>
        <w:t xml:space="preserve">processes differ meaningfully across investor-owned, cooperative, and</w:t>
      </w:r>
      <w:r>
        <w:t xml:space="preserve"> </w:t>
      </w:r>
      <w:r>
        <w:t xml:space="preserve">municipal structures.</w:t>
      </w:r>
    </w:p>
    <w:p>
      <w:pPr>
        <w:pStyle w:val="BodyText"/>
      </w:pPr>
      <w:r>
        <w:t xml:space="preserve">INVESTOR-OWNED UTILITIES (IOUs)</w:t>
      </w:r>
      <w:r>
        <w:t xml:space="preserve"> </w:t>
      </w:r>
      <w:r>
        <w:t xml:space="preserve">Capital expenditure requires state PUC rate-case cost-recovery approval —</w:t>
      </w:r>
      <w:r>
        <w:t xml:space="preserve"> </w:t>
      </w:r>
      <w:r>
        <w:t xml:space="preserve">engage via EEI’s annual convention and be prepared to speak to rate-case</w:t>
      </w:r>
      <w:r>
        <w:t xml:space="preserve"> </w:t>
      </w:r>
      <w:r>
        <w:t xml:space="preserve">framing directly, not just engineering merit.</w:t>
      </w:r>
    </w:p>
    <w:p>
      <w:pPr>
        <w:pStyle w:val="BodyText"/>
      </w:pPr>
      <w:r>
        <w:t xml:space="preserve">GENERATION &amp; TRANSMISSION / DISTRIBUTION COOPERATIVES</w:t>
      </w:r>
      <w:r>
        <w:t xml:space="preserve"> </w:t>
      </w:r>
      <w:r>
        <w:t xml:space="preserve">Member-owned, board-governed — engage via NRECA’s TechAdvantage conference,</w:t>
      </w:r>
      <w:r>
        <w:t xml:space="preserve"> </w:t>
      </w:r>
      <w:r>
        <w:t xml:space="preserve">which is specifically engineering/technology-focused rather than the broader</w:t>
      </w:r>
      <w:r>
        <w:t xml:space="preserve"> </w:t>
      </w:r>
      <w:r>
        <w:t xml:space="preserve">annual meeting.</w:t>
      </w:r>
    </w:p>
    <w:p>
      <w:pPr>
        <w:pStyle w:val="BodyText"/>
      </w:pPr>
      <w:r>
        <w:t xml:space="preserve">MUNICIPAL UTILITIES</w:t>
      </w:r>
      <w:r>
        <w:t xml:space="preserve"> </w:t>
      </w:r>
      <w:r>
        <w:t xml:space="preserve">Publicly owned, typically city-council-adjacent budget approval — engage via</w:t>
      </w:r>
      <w:r>
        <w:t xml:space="preserve"> </w:t>
      </w:r>
      <w:r>
        <w:t xml:space="preserve">APPA’s annual conference.</w:t>
      </w:r>
    </w:p>
    <w:p>
      <w:pPr>
        <w:pStyle w:val="BodyText"/>
      </w:pPr>
      <w:r>
        <w:t xml:space="preserve">CROSS-CUTTING TECHNICAL CHANNEL</w:t>
      </w:r>
      <w:r>
        <w:t xml:space="preserve"> </w:t>
      </w:r>
      <w:r>
        <w:t xml:space="preserve">IEEE PES General Meeting and DistribuTECH International reach engineering</w:t>
      </w:r>
      <w:r>
        <w:t xml:space="preserve"> </w:t>
      </w:r>
      <w:r>
        <w:t xml:space="preserve">staff across all three ownership types in one venue — useful for the</w:t>
      </w:r>
      <w:r>
        <w:t xml:space="preserve"> </w:t>
      </w:r>
      <w:r>
        <w:t xml:space="preserve">technical-credibility layer regardless of which ownership type you’re</w:t>
      </w:r>
      <w:r>
        <w:t xml:space="preserve"> </w:t>
      </w:r>
      <w:r>
        <w:t xml:space="preserve">ultimately speaking to.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DistribuTECH (broadest technical audience, all ownership types).</w:t>
      </w:r>
      <w:r>
        <w:t xml:space="preserve"> </w:t>
      </w:r>
      <w:r>
        <w:t xml:space="preserve">2. Ownership-specific association conference matched to the utility type.</w:t>
      </w:r>
      <w:r>
        <w:t xml:space="preserve"> </w:t>
      </w:r>
      <w:r>
        <w:t xml:space="preserve">3. Direct capital-planning conversation once the venue-level introduction is made.</w:t>
      </w:r>
    </w:p>
    <w:p>
      <w:pPr>
        <w:pStyle w:val="BodyText"/>
      </w:pPr>
      <w:r>
        <w:t xml:space="preserve">Same hardware. Different rooms. We learned which room is which so you don’t have to.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CSMEval10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CSMEval10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CSMEval10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