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CSMEval13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presenting a legacy-airframe dielectric</w:t>
      </w:r>
      <w:r>
        <w:t xml:space="preserve"> </w:t>
      </w:r>
      <w:r>
        <w:t xml:space="preserve">materials redesign study (near-term-credible) alongside an independent-track</w:t>
      </w:r>
      <w:r>
        <w:t xml:space="preserve"> </w:t>
      </w:r>
      <w:r>
        <w:t xml:space="preserve">launch-assist actuator research program (explicitly speculative), both from</w:t>
      </w:r>
      <w:r>
        <w:t xml:space="preserve"> </w:t>
      </w:r>
      <w:r>
        <w:t xml:space="preserve">Carrington Storm Motors. We’d welcome a technical exchange at AIAA SciTech or</w:t>
      </w:r>
      <w:r>
        <w:t xml:space="preserve"> </w:t>
      </w:r>
      <w:r>
        <w:t xml:space="preserve">Space Symposium, or a direct look from your advanced-concepts group on</w:t>
      </w:r>
      <w:r>
        <w:t xml:space="preserve"> </w:t>
      </w:r>
      <w:r>
        <w:t xml:space="preserve">whatever timeline suits your review calendar.</w:t>
      </w:r>
    </w:p>
    <w:p>
      <w:pPr>
        <w:pStyle w:val="BodyText"/>
      </w:pPr>
      <w:r>
        <w:t xml:space="preserve">No rush at all — this one’s built to wait for the right moment.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3-compiled-briefing-packet"/>
    <w:p>
      <w:pPr>
        <w:pStyle w:val="Heading1"/>
      </w:pPr>
      <w:r>
        <w:t xml:space="preserve">CSMEval13 — COMPILED BRIEFING PACKET</w:t>
      </w:r>
    </w:p>
    <w:bookmarkStart w:id="10" w:name="aerospace-defense-contractors"/>
    <w:p>
      <w:pPr>
        <w:pStyle w:val="Heading2"/>
      </w:pPr>
      <w:r>
        <w:t xml:space="preserve">Aerospace &amp; Defense Contractors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(CSMEval13),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One Worked Case Study, One Moonshot, Same Envelope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Why Patience Is the Correct Pace, Not a Consolation Prize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Annual Re-Engagement Points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Defense Research Liaison Office | "Numbers In Service of People"</w:t>
      </w:r>
    </w:p>
    <w:p>
      <w:pPr>
        <w:pStyle w:val="FirstParagraph"/>
      </w:pPr>
      <w:r>
        <w:t xml:space="preserve">Every advanced-concepts division has two piles: things close enough to real</w:t>
      </w:r>
      <w:r>
        <w:t xml:space="preserve"> </w:t>
      </w:r>
      <w:r>
        <w:t xml:space="preserve">that engineering can start now, and things speculative enough that only</w:t>
      </w:r>
      <w:r>
        <w:t xml:space="preserve"> </w:t>
      </w:r>
      <w:r>
        <w:t xml:space="preserve">research budget should touch them. We’re sending you one item for each pile,</w:t>
      </w:r>
      <w:r>
        <w:t xml:space="preserve"> </w:t>
      </w:r>
      <w:r>
        <w:t xml:space="preserve">labeled honestly, so nobody has to guess which is which.</w:t>
      </w:r>
    </w:p>
    <w:p>
      <w:pPr>
        <w:pStyle w:val="SourceCode"/>
      </w:pPr>
      <w:r>
        <w:rPr>
          <w:rStyle w:val="VerbatimChar"/>
        </w:rPr>
        <w:t xml:space="preserve">             ONE WORKED CASE STUDY, ONE MOONSHOT, SAME ENVELOPE</w:t>
      </w:r>
      <w:r>
        <w:br/>
      </w:r>
      <w:r>
        <w:rPr>
          <w:rStyle w:val="VerbatimChar"/>
        </w:rPr>
        <w:t xml:space="preserve">             CSMEval13-A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Present one near-term-credible case study and one explicitly speculative</w:t>
      </w:r>
      <w:r>
        <w:t xml:space="preserve"> </w:t>
      </w:r>
      <w:r>
        <w:t xml:space="preserve">research program, both relevant to aerospace/defense advanced-concepts</w:t>
      </w:r>
      <w:r>
        <w:t xml:space="preserve"> </w:t>
      </w:r>
      <w:r>
        <w:t xml:space="preserve">review.</w:t>
      </w:r>
    </w:p>
    <w:p>
      <w:pPr>
        <w:pStyle w:val="BodyText"/>
      </w:pPr>
      <w:r>
        <w:t xml:space="preserve">NEAR-TERM PILE — A-10 DIELECTRIC THUNDERBOLT</w:t>
      </w:r>
      <w:r>
        <w:t xml:space="preserve"> </w:t>
      </w:r>
      <w:r>
        <w:t xml:space="preserve">A fully worked legacy-airframe redesign study in non-inductive BFRP/ceramic</w:t>
      </w:r>
      <w:r>
        <w:t xml:space="preserve"> </w:t>
      </w:r>
      <w:r>
        <w:t xml:space="preserve">composite materials, developed for GIC immunity. This is a materials-</w:t>
      </w:r>
      <w:r>
        <w:t xml:space="preserve"> </w:t>
      </w:r>
      <w:r>
        <w:t xml:space="preserve">substitution feasibility study on an existing, well-understood airframe —</w:t>
      </w:r>
      <w:r>
        <w:t xml:space="preserve"> </w:t>
      </w:r>
      <w:r>
        <w:t xml:space="preserve">the kind of thing a sustainment program office could actually evaluate.</w:t>
      </w:r>
    </w:p>
    <w:p>
      <w:pPr>
        <w:pStyle w:val="BodyText"/>
      </w:pPr>
      <w:r>
        <w:t xml:space="preserve">MOONSHOT PILE — SMART ROPE / ARCHIMEDES SCREW LAUNCH-ASSIST RESEARCH</w:t>
      </w:r>
      <w:r>
        <w:t xml:space="preserve"> </w:t>
      </w:r>
      <w:r>
        <w:t xml:space="preserve">A segmented piezoelectric actuator and Archimedes-screw-based launch-assist</w:t>
      </w:r>
      <w:r>
        <w:t xml:space="preserve"> </w:t>
      </w:r>
      <w:r>
        <w:t xml:space="preserve">concept (two design iterations), plus underwater/orbital kinetic launch and</w:t>
      </w:r>
      <w:r>
        <w:t xml:space="preserve"> </w:t>
      </w:r>
      <w:r>
        <w:t xml:space="preserve">airborne autorotation physics research. We are not claiming flight-readiness</w:t>
      </w:r>
      <w:r>
        <w:t xml:space="preserve"> </w:t>
      </w:r>
      <w:r>
        <w:t xml:space="preserve">here — we are claiming this is exactly the kind of moonshot materials/</w:t>
      </w:r>
      <w:r>
        <w:t xml:space="preserve"> </w:t>
      </w:r>
      <w:r>
        <w:t xml:space="preserve">actuation research advanced-concepts divisions maintain internal review</w:t>
      </w:r>
      <w:r>
        <w:t xml:space="preserve"> </w:t>
      </w:r>
      <w:r>
        <w:t xml:space="preserve">processes to evaluate, whatever its ultimate technical maturity turns out to</w:t>
      </w:r>
      <w:r>
        <w:t xml:space="preserve"> </w:t>
      </w:r>
      <w:r>
        <w:t xml:space="preserve">be.</w:t>
      </w:r>
    </w:p>
    <w:p>
      <w:pPr>
        <w:pStyle w:val="BodyText"/>
      </w:pPr>
      <w:r>
        <w:t xml:space="preserve">WHY WE’RE LABELING THE PILES OURSELVES</w:t>
      </w:r>
      <w:r>
        <w:t xml:space="preserve"> </w:t>
      </w:r>
      <w:r>
        <w:t xml:space="preserve">Nothing wastes an advanced-concepts reviewer’s time faster than a submitter</w:t>
      </w:r>
      <w:r>
        <w:t xml:space="preserve"> </w:t>
      </w:r>
      <w:r>
        <w:t xml:space="preserve">who can’t tell the difference between</w:t>
      </w:r>
      <w:r>
        <w:t xml:space="preserve"> </w:t>
      </w:r>
      <w:r>
        <w:t xml:space="preserve">“ready for a program office”</w:t>
      </w:r>
      <w:r>
        <w:t xml:space="preserve"> </w:t>
      </w:r>
      <w:r>
        <w:t xml:space="preserve">and</w:t>
      </w:r>
      <w:r>
        <w:t xml:space="preserve"> </w:t>
      </w:r>
      <w:r>
        <w:t xml:space="preserve">“ready for a whiteboard.”</w:t>
      </w:r>
      <w:r>
        <w:t xml:space="preserve"> </w:t>
      </w:r>
      <w:r>
        <w:t xml:space="preserve">We’d rather you trust our labeling than discover</w:t>
      </w:r>
      <w:r>
        <w:t xml:space="preserve"> </w:t>
      </w:r>
      <w:r>
        <w:t xml:space="preserve">the mislabeling yourselves.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explains why patience, not urgency, is the correct pace for this</w:t>
      </w:r>
      <w:r>
        <w:t xml:space="preserve"> </w:t>
      </w:r>
      <w:r>
        <w:t xml:space="preserve">sector’s review cycles.</w:t>
      </w:r>
    </w:p>
    <w:p>
      <w:pPr>
        <w:pStyle w:val="BodyText"/>
      </w:pPr>
      <w:r>
        <w:t xml:space="preserve">One item you could greenlight this quarter. One item worth a whiteboard and a Friday afternoon.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This briefing has no ticking clock in it, and I want to be honest that this</w:t>
      </w:r>
      <w:r>
        <w:t xml:space="preserve"> </w:t>
      </w:r>
      <w:r>
        <w:t xml:space="preserve">is a deliberate choice, not a missing ingredient. Advanced-concepts review</w:t>
      </w:r>
      <w:r>
        <w:t xml:space="preserve"> </w:t>
      </w:r>
      <w:r>
        <w:t xml:space="preserve">moves at the pace advanced-concepts review moves, and pretending otherwise</w:t>
      </w:r>
      <w:r>
        <w:t xml:space="preserve"> </w:t>
      </w:r>
      <w:r>
        <w:t xml:space="preserve">would be a worse pitch, not a better one.</w:t>
      </w:r>
    </w:p>
    <w:p>
      <w:pPr>
        <w:pStyle w:val="SourceCode"/>
      </w:pPr>
      <w:r>
        <w:rPr>
          <w:rStyle w:val="VerbatimChar"/>
        </w:rPr>
        <w:t xml:space="preserve">             WHY PATIENCE IS THE CORRECT PACE, NOT A CONSOLATION PRIZE</w:t>
      </w:r>
      <w:r>
        <w:br/>
      </w:r>
      <w:r>
        <w:rPr>
          <w:rStyle w:val="VerbatimChar"/>
        </w:rPr>
        <w:t xml:space="preserve">             CSMEval13-B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Explain why aerospace/defense advanced-concepts engagement should be paced</w:t>
      </w:r>
      <w:r>
        <w:t xml:space="preserve"> </w:t>
      </w:r>
      <w:r>
        <w:t xml:space="preserve">as an annual-conference relationship rather than a single urgent pitch.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Aerospace primes operate at the intersection of airframe EM hardening,</w:t>
      </w:r>
      <w:r>
        <w:t xml:space="preserve"> </w:t>
      </w:r>
      <w:r>
        <w:t xml:space="preserve">satellite/space-vehicle GIC-adjacent charging effects, and novel launch-</w:t>
      </w:r>
      <w:r>
        <w:t xml:space="preserve"> </w:t>
      </w:r>
      <w:r>
        <w:t xml:space="preserve">assist concepts — a genuinely broad intersection that takes real review</w:t>
      </w:r>
      <w:r>
        <w:t xml:space="preserve"> </w:t>
      </w:r>
      <w:r>
        <w:t xml:space="preserve">time to map against any one company’s specific programs.</w:t>
      </w:r>
      <w:r>
        <w:t xml:space="preserve"> </w:t>
      </w:r>
      <w:r>
        <w:t xml:space="preserve">• Advanced-concepts / X-divisions exist precisely to absorb this kind of</w:t>
      </w:r>
      <w:r>
        <w:t xml:space="preserve"> </w:t>
      </w:r>
      <w:r>
        <w:t xml:space="preserve">patient, exploratory review without needing an artificial deadline to</w:t>
      </w:r>
      <w:r>
        <w:t xml:space="preserve"> </w:t>
      </w:r>
      <w:r>
        <w:t xml:space="preserve">justify their attention.</w:t>
      </w:r>
      <w:r>
        <w:t xml:space="preserve"> </w:t>
      </w:r>
      <w:r>
        <w:t xml:space="preserve">• The A-10 case study’s materials research (basalt-fiber composites, UHT</w:t>
      </w:r>
      <w:r>
        <w:t xml:space="preserve"> </w:t>
      </w:r>
      <w:r>
        <w:t xml:space="preserve">ceramics) has genuine dual-use relevance across sustainment programs and</w:t>
      </w:r>
      <w:r>
        <w:t xml:space="preserve"> </w:t>
      </w:r>
      <w:r>
        <w:t xml:space="preserve">moonshot programs alike, which is worth letting a reviewer discover at</w:t>
      </w:r>
      <w:r>
        <w:t xml:space="preserve"> </w:t>
      </w:r>
      <w:r>
        <w:t xml:space="preserve">their own pace rather than rushing.</w:t>
      </w:r>
    </w:p>
    <w:p>
      <w:pPr>
        <w:pStyle w:val="BodyText"/>
      </w:pPr>
      <w:r>
        <w:t xml:space="preserve">WHY WE’RE NOT MANUFACTURING URGENCY HERE</w:t>
      </w:r>
      <w:r>
        <w:t xml:space="preserve"> </w:t>
      </w:r>
      <w:r>
        <w:t xml:space="preserve">Every other sector in this outreach series has a real clock — a regulatory</w:t>
      </w:r>
      <w:r>
        <w:t xml:space="preserve"> </w:t>
      </w:r>
      <w:r>
        <w:t xml:space="preserve">review, a storm season, a grant cycle. This sector doesn’t, and manufacturing</w:t>
      </w:r>
      <w:r>
        <w:t xml:space="preserve"> </w:t>
      </w:r>
      <w:r>
        <w:t xml:space="preserve">a fake one would undercut the credibility of every other briefing in this</w:t>
      </w:r>
      <w:r>
        <w:t xml:space="preserve"> </w:t>
      </w:r>
      <w:r>
        <w:t xml:space="preserve">entire series. So: no clock. Just good material, offered on your timeline.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annual re-engagement points (AIAA SciTech, Space</w:t>
      </w:r>
      <w:r>
        <w:t xml:space="preserve"> </w:t>
      </w:r>
      <w:r>
        <w:t xml:space="preserve">Symposium) that make a patient timeline still an active one.</w:t>
      </w:r>
    </w:p>
    <w:p>
      <w:pPr>
        <w:pStyle w:val="BodyText"/>
      </w:pPr>
      <w:r>
        <w:t xml:space="preserve">No clock in this one. Just good material and your own review calendar.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Since this is a patient-timeline sector by design, the right plan isn’t one</w:t>
      </w:r>
      <w:r>
        <w:t xml:space="preserve"> </w:t>
      </w:r>
      <w:r>
        <w:t xml:space="preserve">meeting — it’s a standing annual touchpoint we keep showing up to.</w:t>
      </w:r>
    </w:p>
    <w:p>
      <w:pPr>
        <w:pStyle w:val="SourceCode"/>
      </w:pPr>
      <w:r>
        <w:rPr>
          <w:rStyle w:val="VerbatimChar"/>
        </w:rPr>
        <w:t xml:space="preserve">             ANNUAL RE-ENGAGEMENT POINTS</w:t>
      </w:r>
      <w:r>
        <w:br/>
      </w:r>
      <w:r>
        <w:rPr>
          <w:rStyle w:val="VerbatimChar"/>
        </w:rPr>
        <w:t xml:space="preserve">             CSMEval13-C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recurring annual venues best suited to a long-horizon</w:t>
      </w:r>
      <w:r>
        <w:t xml:space="preserve"> </w:t>
      </w:r>
      <w:r>
        <w:t xml:space="preserve">advanced-concepts relationship with aerospace/defense primes.</w:t>
      </w:r>
    </w:p>
    <w:p>
      <w:pPr>
        <w:pStyle w:val="BodyText"/>
      </w:pPr>
      <w:r>
        <w:t xml:space="preserve">PRIMARY VENUE — AIAA SCITECH FORUM</w:t>
      </w:r>
      <w:r>
        <w:t xml:space="preserve"> </w:t>
      </w:r>
      <w:r>
        <w:t xml:space="preserve">Technical paper submission pathway; the natural home for both the A-10</w:t>
      </w:r>
      <w:r>
        <w:t xml:space="preserve"> </w:t>
      </w:r>
      <w:r>
        <w:t xml:space="preserve">materials case study and the Smart Rope/Archimedes-screw research program,</w:t>
      </w:r>
      <w:r>
        <w:t xml:space="preserve"> </w:t>
      </w:r>
      <w:r>
        <w:t xml:space="preserve">presented separately given their different maturity levels.</w:t>
      </w:r>
    </w:p>
    <w:p>
      <w:pPr>
        <w:pStyle w:val="BodyText"/>
      </w:pPr>
      <w:r>
        <w:t xml:space="preserve">SECONDARY VENUE — SPACE SYMPOSIUM (COLORADO SPRINGS)</w:t>
      </w:r>
      <w:r>
        <w:t xml:space="preserve"> </w:t>
      </w:r>
      <w:r>
        <w:t xml:space="preserve">Major cross-industry space event; useful for the launch-assist/moonshot</w:t>
      </w:r>
      <w:r>
        <w:t xml:space="preserve"> </w:t>
      </w:r>
      <w:r>
        <w:t xml:space="preserve">research specifically, reaching a broader mix of primes, agencies, and</w:t>
      </w:r>
      <w:r>
        <w:t xml:space="preserve"> </w:t>
      </w:r>
      <w:r>
        <w:t xml:space="preserve">advanced-concepts groups in one place.</w:t>
      </w:r>
    </w:p>
    <w:p>
      <w:pPr>
        <w:pStyle w:val="BodyText"/>
      </w:pPr>
      <w:r>
        <w:t xml:space="preserve">INDUSTRY NETWORKING — NDIA</w:t>
      </w:r>
      <w:r>
        <w:t xml:space="preserve"> </w:t>
      </w:r>
      <w:r>
        <w:t xml:space="preserve">Broader defense-industrial-base networking; useful as a parallel track</w:t>
      </w:r>
      <w:r>
        <w:t xml:space="preserve"> </w:t>
      </w:r>
      <w:r>
        <w:t xml:space="preserve">alongside the more technical AIAA/Space Symposium venues.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AIAA SciTech paper submission (technical credibility, both pieces).</w:t>
      </w:r>
      <w:r>
        <w:t xml:space="preserve"> </w:t>
      </w:r>
      <w:r>
        <w:t xml:space="preserve">2. Space Symposium exhibitor/technical-session presence (broader reach).</w:t>
      </w:r>
      <w:r>
        <w:t xml:space="preserve"> </w:t>
      </w:r>
      <w:r>
        <w:t xml:space="preserve">3. Direct advanced-concepts division follow-up with whichever primes show</w:t>
      </w:r>
      <w:r>
        <w:t xml:space="preserve"> </w:t>
      </w:r>
      <w:r>
        <w:t xml:space="preserve">interest at either event — the annual cycle repeats regardless, so a</w:t>
      </w:r>
      <w:r>
        <w:t xml:space="preserve"> </w:t>
      </w:r>
      <w:r>
        <w:t xml:space="preserve">missed year isn’t a missed opportunity, just a later one.</w:t>
      </w:r>
    </w:p>
    <w:p>
      <w:pPr>
        <w:pStyle w:val="BodyText"/>
      </w:pPr>
      <w:r>
        <w:t xml:space="preserve">Same two venues, every year, until the right advanced-concepts team is in the room.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CSMEval13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CSMEval13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CSMEval13 Combined Email Body</dc:title>
  <dc:creator/>
  <cp:keywords/>
  <dcterms:created xsi:type="dcterms:W3CDTF">2026-07-03T03:30:43Z</dcterms:created>
  <dcterms:modified xsi:type="dcterms:W3CDTF">2026-07-03T03:30:43Z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