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CSMEval14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Project Noah’s Aegis, a fleet-wide EM-</w:t>
      </w:r>
      <w:r>
        <w:t xml:space="preserve"> </w:t>
      </w:r>
      <w:r>
        <w:t xml:space="preserve">hardening/dielectric retrofit strategy from Carrington Storm Motors, built</w:t>
      </w:r>
      <w:r>
        <w:t xml:space="preserve"> </w:t>
      </w:r>
      <w:r>
        <w:t xml:space="preserve">using a named major cruise line as the anchor case study and covering hull,</w:t>
      </w:r>
      <w:r>
        <w:t xml:space="preserve"> </w:t>
      </w:r>
      <w:r>
        <w:t xml:space="preserve">cabins, propulsion, and onboard systems. We’d welcome the chance to adapt</w:t>
      </w:r>
      <w:r>
        <w:t xml:space="preserve"> </w:t>
      </w:r>
      <w:r>
        <w:t xml:space="preserve">the same methodology for your fleet, and to begin classification-society</w:t>
      </w:r>
      <w:r>
        <w:t xml:space="preserve"> </w:t>
      </w:r>
      <w:r>
        <w:t xml:space="preserve">conversations in parallel if there’s interest.</w:t>
      </w:r>
    </w:p>
    <w:p>
      <w:pPr>
        <w:pStyle w:val="BodyText"/>
      </w:pPr>
      <w:r>
        <w:t xml:space="preserve">Happy to connect at CLIA or SNAME, whichever fits your calendar first.</w:t>
      </w:r>
    </w:p>
    <w:p>
      <w:pPr>
        <w:pStyle w:val="BodyText"/>
      </w:pPr>
      <w:r>
        <w:t xml:space="preserve">Thank you for the work of keeping a small floating city running — it’s a</w:t>
      </w:r>
      <w:r>
        <w:t xml:space="preserve"> </w:t>
      </w:r>
      <w:r>
        <w:t xml:space="preserve">bigger job than it looks like from the dock.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14-compiled-briefing-packet"/>
    <w:p>
      <w:pPr>
        <w:pStyle w:val="Heading1"/>
      </w:pPr>
      <w:r>
        <w:t xml:space="preserve">CSMEval14 — COMPILED BRIEFING PACKET</w:t>
      </w:r>
    </w:p>
    <w:bookmarkStart w:id="10" w:name="cruise-line-maritime-shipping-industry"/>
    <w:p>
      <w:pPr>
        <w:pStyle w:val="Heading2"/>
      </w:pPr>
      <w:r>
        <w:t xml:space="preserve">Cruise Line &amp; Maritime Shipping Industry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(CSMEval14),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A Steel Hull Is a Very Good GIC Antenna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Everything a Coastal City Needs, With Nowhere to Walk 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Two Tracks: Operators Now, Classification Societies in Parallel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Maritime Systems Division | "Everyone Goes Home. Every Day."</w:t>
      </w:r>
    </w:p>
    <w:p>
      <w:pPr>
        <w:pStyle w:val="FirstParagraph"/>
      </w:pPr>
      <w:r>
        <w:t xml:space="preserve">A cruise ship is, in miniature, a self-sufficient coastal city — its own</w:t>
      </w:r>
      <w:r>
        <w:t xml:space="preserve"> </w:t>
      </w:r>
      <w:r>
        <w:t xml:space="preserve">power, water, medical care, food storage, and several thousand people who</w:t>
      </w:r>
      <w:r>
        <w:t xml:space="preserve"> </w:t>
      </w:r>
      <w:r>
        <w:t xml:space="preserve">cannot simply walk home. It’s also a steel hull sitting in seawater, which is</w:t>
      </w:r>
      <w:r>
        <w:t xml:space="preserve"> </w:t>
      </w:r>
      <w:r>
        <w:t xml:space="preserve">close to the ideal geometry for concentrating GIC current. We already built</w:t>
      </w:r>
      <w:r>
        <w:t xml:space="preserve"> </w:t>
      </w:r>
      <w:r>
        <w:t xml:space="preserve">the full resilience retrofit for one of the largest fleets in the world.</w:t>
      </w:r>
      <w:r>
        <w:t xml:space="preserve"> </w:t>
      </w:r>
      <w:r>
        <w:t xml:space="preserve">Here’s what’s in it.</w:t>
      </w:r>
    </w:p>
    <w:p>
      <w:pPr>
        <w:pStyle w:val="SourceCode"/>
      </w:pPr>
      <w:r>
        <w:rPr>
          <w:rStyle w:val="VerbatimChar"/>
        </w:rPr>
        <w:t xml:space="preserve">             A STEEL HULL IS A VERY GOOD GIC ANTENNA</w:t>
      </w:r>
      <w:r>
        <w:br/>
      </w:r>
      <w:r>
        <w:rPr>
          <w:rStyle w:val="VerbatimChar"/>
        </w:rPr>
        <w:t xml:space="preserve">             CSMEval14-A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</w:t>
      </w:r>
      <w:r>
        <w:t xml:space="preserve"> </w:t>
      </w:r>
      <w:r>
        <w:t xml:space="preserve">“Project Noah’s Aegis”</w:t>
      </w:r>
      <w:r>
        <w:t xml:space="preserve"> </w:t>
      </w:r>
      <w:r>
        <w:t xml:space="preserve">and the broader CSMVessel research corpus,</w:t>
      </w:r>
      <w:r>
        <w:t xml:space="preserve"> </w:t>
      </w:r>
      <w:r>
        <w:t xml:space="preserve">built around a named real-world anchor case study (Carnival Corporation).</w:t>
      </w:r>
    </w:p>
    <w:p>
      <w:pPr>
        <w:pStyle w:val="Compact"/>
        <w:numPr>
          <w:ilvl w:val="0"/>
          <w:numId w:val="1002"/>
        </w:numPr>
      </w:pPr>
      <w:r>
        <w:t xml:space="preserve">PROJECT NOAH’S AEGIS — fleet-wide EM-hardening/dielectric retrofit</w:t>
      </w:r>
      <w:r>
        <w:t xml:space="preserve"> </w:t>
      </w:r>
      <w:r>
        <w:t xml:space="preserve">strategy, Carnival Corporation anchor case study.</w:t>
      </w:r>
    </w:p>
    <w:p>
      <w:pPr>
        <w:pStyle w:val="Compact"/>
        <w:numPr>
          <w:ilvl w:val="0"/>
          <w:numId w:val="1002"/>
        </w:numPr>
      </w:pPr>
      <w:r>
        <w:t xml:space="preserve">CABIN &amp; HULL RESILIENCE — passenger cabin resilience research and a hull</w:t>
      </w:r>
      <w:r>
        <w:t xml:space="preserve"> </w:t>
      </w:r>
      <w:r>
        <w:t xml:space="preserve">structural-integrity monograph addressing GIC/vibration load.</w:t>
      </w:r>
    </w:p>
    <w:p>
      <w:pPr>
        <w:pStyle w:val="Compact"/>
        <w:numPr>
          <w:ilvl w:val="0"/>
          <w:numId w:val="1002"/>
        </w:numPr>
      </w:pPr>
      <w:r>
        <w:t xml:space="preserve">PAINTS, FABRICS &amp; FINISHES — resilience research covering non-structural</w:t>
      </w:r>
      <w:r>
        <w:t xml:space="preserve"> </w:t>
      </w:r>
      <w:r>
        <w:t xml:space="preserve">but fleet-wide-relevant materials.</w:t>
      </w:r>
    </w:p>
    <w:p>
      <w:pPr>
        <w:pStyle w:val="Compact"/>
        <w:numPr>
          <w:ilvl w:val="0"/>
          <w:numId w:val="1002"/>
        </w:numPr>
      </w:pPr>
      <w:r>
        <w:t xml:space="preserve">PROPULSION, NAVIGATION &amp; ONBOARD SYSTEMS — resilience research for</w:t>
      </w:r>
      <w:r>
        <w:t xml:space="preserve"> </w:t>
      </w:r>
      <w:r>
        <w:t xml:space="preserve">propulsion/navigation systems and onboard entertainment/safety systems.</w:t>
      </w:r>
    </w:p>
    <w:p>
      <w:pPr>
        <w:pStyle w:val="Compact"/>
        <w:numPr>
          <w:ilvl w:val="0"/>
          <w:numId w:val="1002"/>
        </w:numPr>
      </w:pPr>
      <w:r>
        <w:t xml:space="preserve">CHARLEMAGNE CLASS FLEET — a separate, next-generation amphibious/</w:t>
      </w:r>
      <w:r>
        <w:t xml:space="preserve"> </w:t>
      </w:r>
      <w:r>
        <w:t xml:space="preserve">biomimetic hull concept exploring GIC-immune vessel design from first</w:t>
      </w:r>
      <w:r>
        <w:t xml:space="preserve"> </w:t>
      </w:r>
      <w:r>
        <w:t xml:space="preserve">principles (two published editions).</w:t>
      </w:r>
    </w:p>
    <w:p>
      <w:pPr>
        <w:pStyle w:val="FirstParagraph"/>
      </w:pPr>
      <w:r>
        <w:t xml:space="preserve">THE ARGUMENT UNDERNEATH ALL OF IT</w:t>
      </w:r>
      <w:r>
        <w:t xml:space="preserve"> </w:t>
      </w:r>
      <w:r>
        <w:t xml:space="preserve">The corpus’s own framing calls this the</w:t>
      </w:r>
      <w:r>
        <w:t xml:space="preserve"> </w:t>
      </w:r>
      <w:r>
        <w:t xml:space="preserve">“Dielectric Citadel”</w:t>
      </w:r>
      <w:r>
        <w:t xml:space="preserve"> </w:t>
      </w:r>
      <w:r>
        <w:t xml:space="preserve">position against</w:t>
      </w:r>
      <w:r>
        <w:t xml:space="preserve"> </w:t>
      </w:r>
      <w:r>
        <w:t xml:space="preserve">the industry’s current</w:t>
      </w:r>
      <w:r>
        <w:t xml:space="preserve"> </w:t>
      </w:r>
      <w:r>
        <w:t xml:space="preserve">“Ferrous Consensus”</w:t>
      </w:r>
      <w:r>
        <w:t xml:space="preserve"> </w:t>
      </w:r>
      <w:r>
        <w:t xml:space="preserve">— steel hulls being the assumed,</w:t>
      </w:r>
      <w:r>
        <w:t xml:space="preserve"> </w:t>
      </w:r>
      <w:r>
        <w:t xml:space="preserve">unquestioned default. Whether or not every vessel needs a full amphibious</w:t>
      </w:r>
      <w:r>
        <w:t xml:space="preserve"> </w:t>
      </w:r>
      <w:r>
        <w:t xml:space="preserve">redesign, the underlying materials case deserves a look.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lays out why this sector combines two distinct risk profiles</w:t>
      </w:r>
      <w:r>
        <w:t xml:space="preserve"> </w:t>
      </w:r>
      <w:r>
        <w:t xml:space="preserve">(the coastal-city-in-miniature case and the hull-as-antenna case) more</w:t>
      </w:r>
      <w:r>
        <w:t xml:space="preserve"> </w:t>
      </w:r>
      <w:r>
        <w:t xml:space="preserve">completely than almost anywhere else in the CSM corpus.</w:t>
      </w:r>
    </w:p>
    <w:p>
      <w:pPr>
        <w:pStyle w:val="BodyText"/>
      </w:pPr>
      <w:r>
        <w:t xml:space="preserve">One fleet, fully worked. Yours would be the second, not the first.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"Safety Is Not A Metric. It's A Commitment."</w:t>
      </w:r>
    </w:p>
    <w:p>
      <w:pPr>
        <w:pStyle w:val="FirstParagraph"/>
      </w:pPr>
      <w:r>
        <w:t xml:space="preserve">A land-based facility that loses power still has a</w:t>
      </w:r>
      <w:r>
        <w:t xml:space="preserve"> </w:t>
      </w:r>
      <w:r>
        <w:t xml:space="preserve">“outside”</w:t>
      </w:r>
      <w:r>
        <w:t xml:space="preserve"> </w:t>
      </w:r>
      <w:r>
        <w:t xml:space="preserve">to evacuate to.</w:t>
      </w:r>
      <w:r>
        <w:t xml:space="preserve"> </w:t>
      </w:r>
      <w:r>
        <w:t xml:space="preserve">A vessel mid-voyage doesn’t have that option in the same way — which is</w:t>
      </w:r>
      <w:r>
        <w:t xml:space="preserve"> </w:t>
      </w:r>
      <w:r>
        <w:t xml:space="preserve">exactly why this sector’s risk case reads differently than any onshore</w:t>
      </w:r>
      <w:r>
        <w:t xml:space="preserve"> </w:t>
      </w:r>
      <w:r>
        <w:t xml:space="preserve">facility’s.</w:t>
      </w:r>
    </w:p>
    <w:p>
      <w:pPr>
        <w:pStyle w:val="SourceCode"/>
      </w:pPr>
      <w:r>
        <w:rPr>
          <w:rStyle w:val="VerbatimChar"/>
        </w:rPr>
        <w:t xml:space="preserve">             EVERYTHING A COASTAL CITY NEEDS, WITH NOWHERE TO WALK TO</w:t>
      </w:r>
      <w:r>
        <w:br/>
      </w:r>
      <w:r>
        <w:rPr>
          <w:rStyle w:val="VerbatimChar"/>
        </w:rPr>
        <w:t xml:space="preserve">             CSMEval14-B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maritime GIC exposure combines infrastructure-scale</w:t>
      </w:r>
      <w:r>
        <w:t xml:space="preserve"> </w:t>
      </w:r>
      <w:r>
        <w:t xml:space="preserve">consequence (independent power/water/medical systems, thousands of people)</w:t>
      </w:r>
      <w:r>
        <w:t xml:space="preserve"> </w:t>
      </w:r>
      <w:r>
        <w:t xml:space="preserve">with a uniquely limited evacuation option compared to onshore facilities.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A large cruise vessel independently generates its own power, produces its</w:t>
      </w:r>
      <w:r>
        <w:t xml:space="preserve"> </w:t>
      </w:r>
      <w:r>
        <w:t xml:space="preserve">own water, and maintains onboard medical facilities and food storage — a</w:t>
      </w:r>
      <w:r>
        <w:t xml:space="preserve"> </w:t>
      </w:r>
      <w:r>
        <w:t xml:space="preserve">self-sufficient infrastructure profile comparable to a small coastal city.</w:t>
      </w:r>
      <w:r>
        <w:t xml:space="preserve"> </w:t>
      </w:r>
      <w:r>
        <w:t xml:space="preserve">• A steel hull in seawater is an efficient GIC current sink — the same</w:t>
      </w:r>
      <w:r>
        <w:t xml:space="preserve"> </w:t>
      </w:r>
      <w:r>
        <w:t xml:space="preserve">physics that makes bridges and pipelines GIC-exposed, applied to a vessel</w:t>
      </w:r>
      <w:r>
        <w:t xml:space="preserve"> </w:t>
      </w:r>
      <w:r>
        <w:t xml:space="preserve">that, unlike a bridge, is also carrying its full population at the moment</w:t>
      </w:r>
      <w:r>
        <w:t xml:space="preserve"> </w:t>
      </w:r>
      <w:r>
        <w:t xml:space="preserve">of exposure.</w:t>
      </w:r>
      <w:r>
        <w:t xml:space="preserve"> </w:t>
      </w:r>
      <w:r>
        <w:t xml:space="preserve">• Classification societies (DNV, ABS, Lloyd’s Register) are the technical-</w:t>
      </w:r>
      <w:r>
        <w:t xml:space="preserve"> </w:t>
      </w:r>
      <w:r>
        <w:t xml:space="preserve">standards gatekeepers for any hull/systems redesign — meaning any</w:t>
      </w:r>
      <w:r>
        <w:t xml:space="preserve"> </w:t>
      </w:r>
      <w:r>
        <w:t xml:space="preserve">hardening pathway must eventually clear a classification review, not just</w:t>
      </w:r>
      <w:r>
        <w:t xml:space="preserve"> </w:t>
      </w:r>
      <w:r>
        <w:t xml:space="preserve">an operator’s internal engineering sign-off.</w:t>
      </w:r>
      <w:r>
        <w:t xml:space="preserve"> </w:t>
      </w:r>
      <w:r>
        <w:t xml:space="preserve">• The CSM maritime research corpus is, by volume, one of the largest and</w:t>
      </w:r>
      <w:r>
        <w:t xml:space="preserve"> </w:t>
      </w:r>
      <w:r>
        <w:t xml:space="preserve">most mature product lines in the entire repository, built around a real</w:t>
      </w:r>
      <w:r>
        <w:t xml:space="preserve"> </w:t>
      </w:r>
      <w:r>
        <w:t xml:space="preserve">named anchor case study rather than a hypothetical vessel.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Mid-voyage grid-down conditions remove the</w:t>
      </w:r>
      <w:r>
        <w:t xml:space="preserve"> </w:t>
      </w:r>
      <w:r>
        <w:t xml:space="preserve">“evacuate to shore</w:t>
      </w:r>
      <w:r>
        <w:t xml:space="preserve"> </w:t>
      </w:r>
      <w:r>
        <w:t xml:space="preserve">infrastructure”</w:t>
      </w:r>
      <w:r>
        <w:t xml:space="preserve"> </w:t>
      </w:r>
      <w:r>
        <w:t xml:space="preserve">option available to most onshore facilities facing the</w:t>
      </w:r>
      <w:r>
        <w:t xml:space="preserve"> </w:t>
      </w:r>
      <w:r>
        <w:t xml:space="preserve">same hazard.</w:t>
      </w:r>
      <w:r>
        <w:t xml:space="preserve"> </w:t>
      </w:r>
      <w:r>
        <w:t xml:space="preserve">• Classification-society review timelines mean hardening pathways not</w:t>
      </w:r>
      <w:r>
        <w:t xml:space="preserve"> </w:t>
      </w:r>
      <w:r>
        <w:t xml:space="preserve">already in a standards conversation face a longer runway than onshore</w:t>
      </w:r>
      <w:r>
        <w:t xml:space="preserve"> </w:t>
      </w:r>
      <w:r>
        <w:t xml:space="preserve">retrofits.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the operator, classification-society, and conference</w:t>
      </w:r>
      <w:r>
        <w:t xml:space="preserve"> </w:t>
      </w:r>
      <w:r>
        <w:t xml:space="preserve">channels best suited to extending the existing fleet-wide retrofit</w:t>
      </w:r>
      <w:r>
        <w:t xml:space="preserve"> </w:t>
      </w:r>
      <w:r>
        <w:t xml:space="preserve">methodology to additional operators.</w:t>
      </w:r>
    </w:p>
    <w:p>
      <w:pPr>
        <w:pStyle w:val="BodyText"/>
      </w:pPr>
      <w:r>
        <w:t xml:space="preserve">A city that floats still needs somewhere for the storm current to not go.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This sector needs two conversations happening at once, on two different</w:t>
      </w:r>
      <w:r>
        <w:t xml:space="preserve"> </w:t>
      </w:r>
      <w:r>
        <w:t xml:space="preserve">clocks — one with the people who’d buy the retrofit, one with the people who</w:t>
      </w:r>
      <w:r>
        <w:t xml:space="preserve"> </w:t>
      </w:r>
      <w:r>
        <w:t xml:space="preserve">have to approve it.</w:t>
      </w:r>
    </w:p>
    <w:p>
      <w:pPr>
        <w:pStyle w:val="SourceCode"/>
      </w:pPr>
      <w:r>
        <w:rPr>
          <w:rStyle w:val="VerbatimChar"/>
        </w:rPr>
        <w:t xml:space="preserve">             TWO TRACKS: OPERATORS NOW, CLASSIFICATION SOCIETIES IN PARALLEL</w:t>
      </w:r>
      <w:r>
        <w:br/>
      </w:r>
      <w:r>
        <w:rPr>
          <w:rStyle w:val="VerbatimChar"/>
        </w:rPr>
        <w:t xml:space="preserve">             CSMEval14-C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operator-facing and standards-facing channels needed to move</w:t>
      </w:r>
      <w:r>
        <w:t xml:space="preserve"> </w:t>
      </w:r>
      <w:r>
        <w:t xml:space="preserve">the fleet-wide retrofit methodology from one anchor case study to broader</w:t>
      </w:r>
      <w:r>
        <w:t xml:space="preserve"> </w:t>
      </w:r>
      <w:r>
        <w:t xml:space="preserve">industry adoption.</w:t>
      </w:r>
    </w:p>
    <w:p>
      <w:pPr>
        <w:pStyle w:val="BodyText"/>
      </w:pPr>
      <w:r>
        <w:t xml:space="preserve">TRACK 1 — OPERATOR ENGAGEMENT</w:t>
      </w:r>
      <w:r>
        <w:t xml:space="preserve"> </w:t>
      </w:r>
      <w:r>
        <w:t xml:space="preserve">• Cruise Lines International Association (CLIA) — the primary cruise-</w:t>
      </w:r>
      <w:r>
        <w:t xml:space="preserve"> </w:t>
      </w:r>
      <w:r>
        <w:t xml:space="preserve">industry trade association; engage via CLIA’s public conference/exhibitor</w:t>
      </w:r>
      <w:r>
        <w:t xml:space="preserve"> </w:t>
      </w:r>
      <w:r>
        <w:t xml:space="preserve">channel, timed to newbuild program announcements when possible.</w:t>
      </w:r>
      <w:r>
        <w:t xml:space="preserve"> </w:t>
      </w:r>
      <w:r>
        <w:t xml:space="preserve">• Direct VP of Newbuild &amp; Innovation outreach at operators with announced</w:t>
      </w:r>
      <w:r>
        <w:t xml:space="preserve"> </w:t>
      </w:r>
      <w:r>
        <w:t xml:space="preserve">newbuild programs — the highest-leverage single moment to influence</w:t>
      </w:r>
      <w:r>
        <w:t xml:space="preserve"> </w:t>
      </w:r>
      <w:r>
        <w:t xml:space="preserve">design specifications before steel is cut.</w:t>
      </w:r>
    </w:p>
    <w:p>
      <w:pPr>
        <w:pStyle w:val="BodyText"/>
      </w:pPr>
      <w:r>
        <w:t xml:space="preserve">TRACK 2 — CLASSIFICATION SOCIETY / STANDARDS ENGAGEMENT (LONGER HORIZON)</w:t>
      </w:r>
      <w:r>
        <w:t xml:space="preserve"> </w:t>
      </w:r>
      <w:r>
        <w:t xml:space="preserve">• DNV, ABS, Lloyd’s Register — each maintains public technical forums for</w:t>
      </w:r>
      <w:r>
        <w:t xml:space="preserve"> </w:t>
      </w:r>
      <w:r>
        <w:t xml:space="preserve">proposed materials and design standards; engage each society’s technical</w:t>
      </w:r>
      <w:r>
        <w:t xml:space="preserve"> </w:t>
      </w:r>
      <w:r>
        <w:t xml:space="preserve">committee process directly, in parallel with operator conversations, since</w:t>
      </w:r>
      <w:r>
        <w:t xml:space="preserve"> </w:t>
      </w:r>
      <w:r>
        <w:t xml:space="preserve">this track moves on a longer clock regardless of operator interest.</w:t>
      </w:r>
      <w:r>
        <w:t xml:space="preserve"> </w:t>
      </w:r>
      <w:r>
        <w:t xml:space="preserve">• Society of Naval Architects and Marine Engineers (SNAME) — technical peer</w:t>
      </w:r>
      <w:r>
        <w:t xml:space="preserve"> </w:t>
      </w:r>
      <w:r>
        <w:t xml:space="preserve">venue bridging operators, shipyards, and classification societies.</w:t>
      </w:r>
    </w:p>
    <w:p>
      <w:pPr>
        <w:pStyle w:val="BodyText"/>
      </w:pPr>
      <w:r>
        <w:t xml:space="preserve">LONGER-HORIZON TRACK — IMO</w:t>
      </w:r>
      <w:r>
        <w:t xml:space="preserve"> </w:t>
      </w:r>
      <w:r>
        <w:t xml:space="preserve">International Maritime Organization standards engagement is the longest-</w:t>
      </w:r>
      <w:r>
        <w:t xml:space="preserve"> </w:t>
      </w:r>
      <w:r>
        <w:t xml:space="preserve">horizon track here — worth beginning now precisely because it’s slow, not</w:t>
      </w:r>
      <w:r>
        <w:t xml:space="preserve"> </w:t>
      </w:r>
      <w:r>
        <w:t xml:space="preserve">instead of the faster tracks.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CLIA + operator newbuild-program outreach (fastest potential traction).</w:t>
      </w:r>
      <w:r>
        <w:t xml:space="preserve"> </w:t>
      </w:r>
      <w:r>
        <w:t xml:space="preserve">2. SNAME technical session (peer credibility bridging all stakeholders).</w:t>
      </w:r>
      <w:r>
        <w:t xml:space="preserve"> </w:t>
      </w:r>
      <w:r>
        <w:t xml:space="preserve">3. Classification-society and IMO engagement, running in parallel throughout,</w:t>
      </w:r>
      <w:r>
        <w:t xml:space="preserve"> </w:t>
      </w:r>
      <w:r>
        <w:t xml:space="preserve">not sequenced after the others.</w:t>
      </w:r>
    </w:p>
    <w:p>
      <w:pPr>
        <w:pStyle w:val="BodyText"/>
      </w:pPr>
      <w:r>
        <w:t xml:space="preserve">Two clocks, two conversations, started on the same day.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CSMEval14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CSMEval14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CSMEval14 Combined Email Body</dc:title>
  <dc:creator/>
  <cp:keywords/>
  <dcterms:created xsi:type="dcterms:W3CDTF">2026-07-03T03:30:43Z</dcterms:created>
  <dcterms:modified xsi:type="dcterms:W3CDTF">2026-07-03T03:30:43Z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