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CSMEval15 Combined Email Body</w:t>
      </w:r>
    </w:p>
    <w:p>
      <w:pPr>
        <w:pStyle w:val="Date"/>
      </w:pPr>
      <w:r>
        <w:t xml:space="preserve">2026-06-01</w:t>
      </w:r>
    </w:p>
    <w:p>
      <w:pPr>
        <w:pStyle w:val="FirstParagraph"/>
      </w:pPr>
      <w:r>
        <w:t xml:space="preserve">Attached is a briefing packet on Project Aegis-K, a combined GIC/flood-hazard</w:t>
      </w:r>
      <w:r>
        <w:t xml:space="preserve"> </w:t>
      </w:r>
      <w:r>
        <w:t xml:space="preserve">resilience redesign built for a named major regional amusement park, plus</w:t>
      </w:r>
      <w:r>
        <w:t xml:space="preserve"> </w:t>
      </w:r>
      <w:r>
        <w:t xml:space="preserve">supporting research on ride-support structural materials and guest</w:t>
      </w:r>
      <w:r>
        <w:t xml:space="preserve"> </w:t>
      </w:r>
      <w:r>
        <w:t xml:space="preserve">evacuation protocols from Carrington Storm Motors. We’d welcome the chance to</w:t>
      </w:r>
      <w:r>
        <w:t xml:space="preserve"> </w:t>
      </w:r>
      <w:r>
        <w:t xml:space="preserve">present this at IAAPA Expo or directly to your facilities engineering team.</w:t>
      </w:r>
    </w:p>
    <w:p>
      <w:pPr>
        <w:pStyle w:val="BodyText"/>
      </w:pPr>
      <w:r>
        <w:t xml:space="preserve">Appreciate the work of keeping a genuinely fun day also a genuinely safe</w:t>
      </w:r>
      <w:r>
        <w:t xml:space="preserve"> </w:t>
      </w:r>
      <w:r>
        <w:t xml:space="preserve">one — harder than it looks.</w:t>
      </w:r>
    </w:p>
    <w:p>
      <w:pPr>
        <w:pStyle w:val="BodyText"/>
      </w:pPr>
      <w:r>
        <w:t xml:space="preserve">| Carrington Storm Motors | Safe Pod Engineering Company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csmeval15-compiled-briefing-packet"/>
    <w:p>
      <w:pPr>
        <w:pStyle w:val="Heading1"/>
      </w:pPr>
      <w:r>
        <w:t xml:space="preserve">CSMEval15 — COMPILED BRIEFING PACKET</w:t>
      </w:r>
    </w:p>
    <w:bookmarkStart w:id="10" w:name="amusement-park-theme-park-operators"/>
    <w:p>
      <w:pPr>
        <w:pStyle w:val="Heading2"/>
      </w:pPr>
      <w:r>
        <w:t xml:space="preserve">Amusement Park &amp; Theme Park Operators</w:t>
      </w:r>
    </w:p>
    <w:bookmarkStart w:id="9" w:name="X0076f856ee82b1aa192572b909281b775439e93"/>
    <w:p>
      <w:pPr>
        <w:pStyle w:val="Heading3"/>
      </w:pPr>
      <w:r>
        <w:t xml:space="preserve">Carrington Storm Motors | Safe Pod Engineering Company — June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packet compiles all three tailored briefing documents prepared for this</w:t>
      </w:r>
      <w:r>
        <w:t xml:space="preserve"> </w:t>
      </w:r>
      <w:r>
        <w:t xml:space="preserve">sector (CSMEval15), in reading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A</w:t>
      </w:r>
      <w:r>
        <w:t xml:space="preserve"> </w:t>
      </w:r>
      <w:r>
        <w:t xml:space="preserve">— Project Aegis-K: One Named Park, Fully Redesigned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B</w:t>
      </w:r>
      <w:r>
        <w:t xml:space="preserve"> </w:t>
      </w:r>
      <w:r>
        <w:t xml:space="preserve">— Three Risk Factors, Rarely Stacked This Densely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C</w:t>
      </w:r>
      <w:r>
        <w:t xml:space="preserve"> </w:t>
      </w:r>
      <w:r>
        <w:t xml:space="preserve">— IAAPA Expo Is the Whole Sector, in One Week</w:t>
      </w:r>
    </w:p>
    <w:p>
      <w:pPr>
        <w:pStyle w:val="FirstParagraph"/>
      </w:pPr>
      <w:r>
        <w:t xml:space="preserve">All three were produced under the Williams Heuristic Communication Standard</w:t>
      </w:r>
      <w:r>
        <w:t xml:space="preserve"> </w:t>
      </w:r>
      <w:r>
        <w:t xml:space="preserve">(CSMSOPP000001, MODULE-V2) for consistent voice and cadence across the series.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Municipal Infrastructure Division | "Your Safety Is Our Most Animated Concern"</w:t>
      </w:r>
    </w:p>
    <w:p>
      <w:pPr>
        <w:pStyle w:val="FirstParagraph"/>
      </w:pPr>
      <w:r>
        <w:t xml:space="preserve">Steel coasters, motor-driven attractions, large crowds, and — for a lot of</w:t>
      </w:r>
      <w:r>
        <w:t xml:space="preserve"> </w:t>
      </w:r>
      <w:r>
        <w:t xml:space="preserve">major parks — a coastline or floodplain right next door. That’s an unusual</w:t>
      </w:r>
      <w:r>
        <w:t xml:space="preserve"> </w:t>
      </w:r>
      <w:r>
        <w:t xml:space="preserve">combination of hazards to hold at once, which is exactly why we didn’t build</w:t>
      </w:r>
      <w:r>
        <w:t xml:space="preserve"> </w:t>
      </w:r>
      <w:r>
        <w:t xml:space="preserve">this as a hypothetical. We built it for a real, named park first.</w:t>
      </w:r>
    </w:p>
    <w:p>
      <w:pPr>
        <w:pStyle w:val="SourceCode"/>
      </w:pPr>
      <w:r>
        <w:rPr>
          <w:rStyle w:val="VerbatimChar"/>
        </w:rPr>
        <w:t xml:space="preserve">             PROJECT AEGIS-K: ONE NAMED PARK, FULLY REDESIGNED</w:t>
      </w:r>
      <w:r>
        <w:br/>
      </w:r>
      <w:r>
        <w:rPr>
          <w:rStyle w:val="VerbatimChar"/>
        </w:rPr>
        <w:t xml:space="preserve">             CSMEval15-A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Summarize Project Aegis-K and the supporting CSM research directly</w:t>
      </w:r>
      <w:r>
        <w:t xml:space="preserve"> </w:t>
      </w:r>
      <w:r>
        <w:t xml:space="preserve">transferable to comparable amusement/theme park operators.</w:t>
      </w:r>
    </w:p>
    <w:p>
      <w:pPr>
        <w:numPr>
          <w:ilvl w:val="0"/>
          <w:numId w:val="1002"/>
        </w:numPr>
      </w:pPr>
      <w:r>
        <w:t xml:space="preserve">PROJECT AEGIS-K (KNOTT’S BERRY FARM)</w:t>
      </w:r>
      <w:r>
        <w:t xml:space="preserve"> </w:t>
      </w:r>
      <w:r>
        <w:t xml:space="preserve">A complete Carrington-event GIC hardening and amphibious/flood-risk</w:t>
      </w:r>
      <w:r>
        <w:t xml:space="preserve"> </w:t>
      </w:r>
      <w:r>
        <w:t xml:space="preserve">redesign for a named major regional amusement park — the flagship,</w:t>
      </w:r>
      <w:r>
        <w:t xml:space="preserve"> </w:t>
      </w:r>
      <w:r>
        <w:t xml:space="preserve">fully worked example this entire sector’s outreach is built around.</w:t>
      </w:r>
    </w:p>
    <w:p>
      <w:pPr>
        <w:numPr>
          <w:ilvl w:val="0"/>
          <w:numId w:val="1002"/>
        </w:numPr>
      </w:pPr>
      <w:r>
        <w:t xml:space="preserve">NON-CONDUCTIVE RIDE-SUPPORT STRUCTURAL MATERIALS</w:t>
      </w:r>
      <w:r>
        <w:t xml:space="preserve"> </w:t>
      </w:r>
      <w:r>
        <w:t xml:space="preserve">BFRP rebar and composite-monopole precedent (CSMFAB09, CSMFAB0105),</w:t>
      </w:r>
      <w:r>
        <w:t xml:space="preserve"> </w:t>
      </w:r>
      <w:r>
        <w:t xml:space="preserve">applicable to steel-coaster and motor-driven-attraction support</w:t>
      </w:r>
      <w:r>
        <w:t xml:space="preserve"> </w:t>
      </w:r>
      <w:r>
        <w:t xml:space="preserve">structures.</w:t>
      </w:r>
    </w:p>
    <w:p>
      <w:pPr>
        <w:numPr>
          <w:ilvl w:val="0"/>
          <w:numId w:val="1002"/>
        </w:numPr>
      </w:pPr>
      <w:r>
        <w:t xml:space="preserve">STELLAR-AEGIS EVACUATION PROTOCOL</w:t>
      </w:r>
      <w:r>
        <w:t xml:space="preserve"> </w:t>
      </w:r>
      <w:r>
        <w:t xml:space="preserve">Guest and crowd evacuation framework, directly relevant to any park’s</w:t>
      </w:r>
      <w:r>
        <w:t xml:space="preserve"> </w:t>
      </w:r>
      <w:r>
        <w:t xml:space="preserve">emergency-response planning during a grid-down event.</w:t>
      </w:r>
    </w:p>
    <w:p>
      <w:pPr>
        <w:numPr>
          <w:ilvl w:val="0"/>
          <w:numId w:val="1002"/>
        </w:numPr>
      </w:pPr>
      <w:r>
        <w:t xml:space="preserve">GUEST-FACING VIBRATION/COMFORT RESEARCH</w:t>
      </w:r>
      <w:r>
        <w:t xml:space="preserve"> </w:t>
      </w:r>
      <w:r>
        <w:t xml:space="preserve">CSMHuman vibration/frequency-body research, relevant to ride-design</w:t>
      </w:r>
      <w:r>
        <w:t xml:space="preserve"> </w:t>
      </w:r>
      <w:r>
        <w:t xml:space="preserve">comfort and safety engineering.</w:t>
      </w:r>
    </w:p>
    <w:p>
      <w:pPr>
        <w:pStyle w:val="FirstParagraph"/>
      </w:pPr>
      <w:r>
        <w:t xml:space="preserve">WHY ONE CASE STUDY IS ENOUGH TO START A CONVERSATION</w:t>
      </w:r>
      <w:r>
        <w:t xml:space="preserve"> </w:t>
      </w:r>
      <w:r>
        <w:t xml:space="preserve">We’re not asking you to be first. Knott’s Berry Farm’s redesign already</w:t>
      </w:r>
      <w:r>
        <w:t xml:space="preserve"> </w:t>
      </w:r>
      <w:r>
        <w:t xml:space="preserve">exists as a complete template — the ask is simply whether your park’s</w:t>
      </w:r>
      <w:r>
        <w:t xml:space="preserve"> </w:t>
      </w:r>
      <w:r>
        <w:t xml:space="preserve">facilities engineering team would like to see how the same methodology maps</w:t>
      </w:r>
      <w:r>
        <w:t xml:space="preserve"> </w:t>
      </w:r>
      <w:r>
        <w:t xml:space="preserve">onto your own site.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B makes the specific case for why the combined GIC-plus-flood hazard</w:t>
      </w:r>
      <w:r>
        <w:t xml:space="preserve"> </w:t>
      </w:r>
      <w:r>
        <w:t xml:space="preserve">profile deserves attention now, not after the next storm season.</w:t>
      </w:r>
    </w:p>
    <w:p>
      <w:pPr>
        <w:pStyle w:val="BodyText"/>
      </w:pPr>
      <w:r>
        <w:t xml:space="preserve">One park done. Your facilities team just has to say yes to a look.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Risk &amp; Continuity Research Office | "Everyone Goes Home. Every Day."</w:t>
      </w:r>
    </w:p>
    <w:p>
      <w:pPr>
        <w:pStyle w:val="FirstParagraph"/>
      </w:pPr>
      <w:r>
        <w:t xml:space="preserve">Most venues have one or two of these risk factors. Major theme parks tend to</w:t>
      </w:r>
      <w:r>
        <w:t xml:space="preserve"> </w:t>
      </w:r>
      <w:r>
        <w:t xml:space="preserve">have all three, stacked, in the same footprint — which is worth naming</w:t>
      </w:r>
      <w:r>
        <w:t xml:space="preserve"> </w:t>
      </w:r>
      <w:r>
        <w:t xml:space="preserve">plainly rather than assuming it’s obvious.</w:t>
      </w:r>
    </w:p>
    <w:p>
      <w:pPr>
        <w:pStyle w:val="SourceCode"/>
      </w:pPr>
      <w:r>
        <w:rPr>
          <w:rStyle w:val="VerbatimChar"/>
        </w:rPr>
        <w:t xml:space="preserve">             THREE RISK FACTORS, RARELY STACKED THIS DENSELY</w:t>
      </w:r>
      <w:r>
        <w:br/>
      </w:r>
      <w:r>
        <w:rPr>
          <w:rStyle w:val="VerbatimChar"/>
        </w:rPr>
        <w:t xml:space="preserve">             CSMEval15-B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Name the three risk factors this sector combines more densely than most</w:t>
      </w:r>
      <w:r>
        <w:t xml:space="preserve"> </w:t>
      </w:r>
      <w:r>
        <w:t xml:space="preserve">other venue types, and why that combination warrants a dedicated hardening</w:t>
      </w:r>
      <w:r>
        <w:t xml:space="preserve"> </w:t>
      </w:r>
      <w:r>
        <w:t xml:space="preserve">case study rather than a generic facilities briefing.</w:t>
      </w:r>
    </w:p>
    <w:p>
      <w:pPr>
        <w:pStyle w:val="BodyText"/>
      </w:pPr>
      <w:r>
        <w:t xml:space="preserve">KEY FACTS</w:t>
      </w:r>
      <w:r>
        <w:t xml:space="preserve"> </w:t>
      </w:r>
      <w:r>
        <w:t xml:space="preserve">• Large numbers of the public occupy a fixed location for extended periods —</w:t>
      </w:r>
      <w:r>
        <w:t xml:space="preserve"> </w:t>
      </w:r>
      <w:r>
        <w:t xml:space="preserve">a crowd-density profile with real evacuation-planning implications during</w:t>
      </w:r>
      <w:r>
        <w:t xml:space="preserve"> </w:t>
      </w:r>
      <w:r>
        <w:t xml:space="preserve">a grid-down event.</w:t>
      </w:r>
      <w:r>
        <w:t xml:space="preserve"> </w:t>
      </w:r>
      <w:r>
        <w:t xml:space="preserve">• Ride systems are simultaneously electro-mechanically complex (motor-driven</w:t>
      </w:r>
      <w:r>
        <w:t xml:space="preserve"> </w:t>
      </w:r>
      <w:r>
        <w:t xml:space="preserve">attractions, control electronics) and structurally massive (steel</w:t>
      </w:r>
      <w:r>
        <w:t xml:space="preserve"> </w:t>
      </w:r>
      <w:r>
        <w:t xml:space="preserve">coasters) — a dual electrical/structural GIC exposure most facilities</w:t>
      </w:r>
      <w:r>
        <w:t xml:space="preserve"> </w:t>
      </w:r>
      <w:r>
        <w:t xml:space="preserve">don’t combine.</w:t>
      </w:r>
      <w:r>
        <w:t xml:space="preserve"> </w:t>
      </w:r>
      <w:r>
        <w:t xml:space="preserve">• Many major parks sit on coastal or floodplain-adjacent land — adding a</w:t>
      </w:r>
      <w:r>
        <w:t xml:space="preserve"> </w:t>
      </w:r>
      <w:r>
        <w:t xml:space="preserve">second, independent hazard (flood) that compounds rather than replaces</w:t>
      </w:r>
      <w:r>
        <w:t xml:space="preserve"> </w:t>
      </w:r>
      <w:r>
        <w:t xml:space="preserve">the GIC exposure.</w:t>
      </w:r>
      <w:r>
        <w:t xml:space="preserve"> </w:t>
      </w:r>
      <w:r>
        <w:t xml:space="preserve">• Project Aegis-K’s Knott’s Berry Farm redesign explicitly combines</w:t>
      </w:r>
      <w:r>
        <w:t xml:space="preserve"> </w:t>
      </w:r>
      <w:r>
        <w:t xml:space="preserve">Carrington-event GIC hardening with amphibious/flood-risk redesign in one</w:t>
      </w:r>
      <w:r>
        <w:t xml:space="preserve"> </w:t>
      </w:r>
      <w:r>
        <w:t xml:space="preserve">methodology — proof the combined-hazard approach is achievable, not just</w:t>
      </w:r>
      <w:r>
        <w:t xml:space="preserve"> </w:t>
      </w:r>
      <w:r>
        <w:t xml:space="preserve">theoretically necessary.</w:t>
      </w:r>
    </w:p>
    <w:p>
      <w:pPr>
        <w:pStyle w:val="BodyText"/>
      </w:pPr>
      <w:r>
        <w:t xml:space="preserve">RISKS / CONCERNS IF UNADDRESSED</w:t>
      </w:r>
      <w:r>
        <w:t xml:space="preserve"> </w:t>
      </w:r>
      <w:r>
        <w:t xml:space="preserve">• Ride-safety engineering that addresses structural and electrical risk</w:t>
      </w:r>
      <w:r>
        <w:t xml:space="preserve"> </w:t>
      </w:r>
      <w:r>
        <w:t xml:space="preserve">separately may miss failure modes that only appear when both hazards</w:t>
      </w:r>
      <w:r>
        <w:t xml:space="preserve"> </w:t>
      </w:r>
      <w:r>
        <w:t xml:space="preserve">occur together (e.g., a flood event during or shortly after a geomagnetic</w:t>
      </w:r>
      <w:r>
        <w:t xml:space="preserve"> </w:t>
      </w:r>
      <w:r>
        <w:t xml:space="preserve">storm).</w:t>
      </w:r>
      <w:r>
        <w:t xml:space="preserve"> </w:t>
      </w:r>
      <w:r>
        <w:t xml:space="preserve">• Guest evacuation planning without a grid-down-specific scenario may</w:t>
      </w:r>
      <w:r>
        <w:t xml:space="preserve"> </w:t>
      </w:r>
      <w:r>
        <w:t xml:space="preserve">underestimate real evacuation timelines.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C identifies IAAPA Expo and the relevant ASTM committee as the two</w:t>
      </w:r>
      <w:r>
        <w:t xml:space="preserve"> </w:t>
      </w:r>
      <w:r>
        <w:t xml:space="preserve">highest-leverage channels for this sector.</w:t>
      </w:r>
    </w:p>
    <w:p>
      <w:pPr>
        <w:pStyle w:val="BodyText"/>
      </w:pPr>
      <w:r>
        <w:t xml:space="preserve">Crowd, machine, and flood, all in one footprint — better to name it than assume someone already has.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Government &amp; Industry Partnerships Office | "We Plan So You Can Act With Confidence"</w:t>
      </w:r>
    </w:p>
    <w:p>
      <w:pPr>
        <w:pStyle w:val="FirstParagraph"/>
      </w:pPr>
      <w:r>
        <w:t xml:space="preserve">This sector has an unusually strong single-venue concentration — one expo</w:t>
      </w:r>
      <w:r>
        <w:t xml:space="preserve"> </w:t>
      </w:r>
      <w:r>
        <w:t xml:space="preserve">reaches most of the operators, ride manufacturers, and inspection firms that</w:t>
      </w:r>
      <w:r>
        <w:t xml:space="preserve"> </w:t>
      </w:r>
      <w:r>
        <w:t xml:space="preserve">matter, all at once.</w:t>
      </w:r>
    </w:p>
    <w:p>
      <w:pPr>
        <w:pStyle w:val="SourceCode"/>
      </w:pPr>
      <w:r>
        <w:rPr>
          <w:rStyle w:val="VerbatimChar"/>
        </w:rPr>
        <w:t xml:space="preserve">             IAAPA EXPO IS THE WHOLE SECTOR, IN ONE WEEK</w:t>
      </w:r>
      <w:r>
        <w:br/>
      </w:r>
      <w:r>
        <w:rPr>
          <w:rStyle w:val="VerbatimChar"/>
        </w:rPr>
        <w:t xml:space="preserve">             CSMEval15-C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Identify the primary and secondary channels for introducing Project Aegis-K</w:t>
      </w:r>
      <w:r>
        <w:t xml:space="preserve"> </w:t>
      </w:r>
      <w:r>
        <w:t xml:space="preserve">to theme park operators, ride manufacturers, and safety-certification firms.</w:t>
      </w:r>
    </w:p>
    <w:p>
      <w:pPr>
        <w:pStyle w:val="BodyText"/>
      </w:pPr>
      <w:r>
        <w:t xml:space="preserve">PRIMARY VENUE — IAAPA EXPO (ANNUAL, TYPICALLY NOVEMBER)</w:t>
      </w:r>
      <w:r>
        <w:t xml:space="preserve"> </w:t>
      </w:r>
      <w:r>
        <w:t xml:space="preserve">The primary global industry trade show; the single best distribution event</w:t>
      </w:r>
      <w:r>
        <w:t xml:space="preserve"> </w:t>
      </w:r>
      <w:r>
        <w:t xml:space="preserve">for this entire sector, reaching operators, ride manufacturers, and</w:t>
      </w:r>
      <w:r>
        <w:t xml:space="preserve"> </w:t>
      </w:r>
      <w:r>
        <w:t xml:space="preserve">inspection firms in one place, one week a year.</w:t>
      </w:r>
    </w:p>
    <w:p>
      <w:pPr>
        <w:pStyle w:val="BodyText"/>
      </w:pPr>
      <w:r>
        <w:t xml:space="preserve">STANDARDS CHANNEL — ASTM F24 COMMITTEE</w:t>
      </w:r>
      <w:r>
        <w:t xml:space="preserve"> </w:t>
      </w:r>
      <w:r>
        <w:t xml:space="preserve">The American Society for Testing and Materials’ F24 Committee on Amusement</w:t>
      </w:r>
      <w:r>
        <w:t xml:space="preserve"> </w:t>
      </w:r>
      <w:r>
        <w:t xml:space="preserve">Rides and Devices — the correct technical-standards body for any</w:t>
      </w:r>
      <w:r>
        <w:t xml:space="preserve"> </w:t>
      </w:r>
      <w:r>
        <w:t xml:space="preserve">ride-support-structure materials conversation (BFRP rebar, composite</w:t>
      </w:r>
      <w:r>
        <w:t xml:space="preserve"> </w:t>
      </w:r>
      <w:r>
        <w:t xml:space="preserve">monopoles).</w:t>
      </w:r>
    </w:p>
    <w:p>
      <w:pPr>
        <w:pStyle w:val="BodyText"/>
      </w:pPr>
      <w:r>
        <w:t xml:space="preserve">REGULATORY NOTE</w:t>
      </w:r>
      <w:r>
        <w:t xml:space="preserve"> </w:t>
      </w:r>
      <w:r>
        <w:t xml:space="preserve">State-level ride-safety regulatory agencies vary by state — relevant for any</w:t>
      </w:r>
      <w:r>
        <w:t xml:space="preserve"> </w:t>
      </w:r>
      <w:r>
        <w:t xml:space="preserve">operator-specific compliance conversation, but not a single national channel</w:t>
      </w:r>
      <w:r>
        <w:t xml:space="preserve"> </w:t>
      </w:r>
      <w:r>
        <w:t xml:space="preserve">the way IAAPA and ASTM F24 are.</w:t>
      </w:r>
    </w:p>
    <w:p>
      <w:pPr>
        <w:pStyle w:val="BodyText"/>
      </w:pPr>
      <w:r>
        <w:t xml:space="preserve">SUGGESTED SEQUENCING</w:t>
      </w:r>
      <w:r>
        <w:t xml:space="preserve"> </w:t>
      </w:r>
      <w:r>
        <w:t xml:space="preserve">1. IAAPA Expo exhibitor/technical-session presence (broadest, highest-</w:t>
      </w:r>
      <w:r>
        <w:t xml:space="preserve"> </w:t>
      </w:r>
      <w:r>
        <w:t xml:space="preserve">leverage single event).</w:t>
      </w:r>
      <w:r>
        <w:t xml:space="preserve"> </w:t>
      </w:r>
      <w:r>
        <w:t xml:space="preserve">2. ASTM F24 Committee engagement in parallel (standards credibility for the</w:t>
      </w:r>
      <w:r>
        <w:t xml:space="preserve"> </w:t>
      </w:r>
      <w:r>
        <w:t xml:space="preserve">structural-materials angle specifically).</w:t>
      </w:r>
      <w:r>
        <w:t xml:space="preserve"> </w:t>
      </w:r>
      <w:r>
        <w:t xml:space="preserve">3. Direct facilities-engineering-team follow-up with operators who show</w:t>
      </w:r>
      <w:r>
        <w:t xml:space="preserve"> </w:t>
      </w:r>
      <w:r>
        <w:t xml:space="preserve">interest at IAAPA.</w:t>
      </w:r>
    </w:p>
    <w:p>
      <w:pPr>
        <w:pStyle w:val="BodyText"/>
      </w:pPr>
      <w:r>
        <w:t xml:space="preserve">One expo, one week, most of the sector in the room — hard to beat that math.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CSMEval15 Compiled Briefing Packet | 3 documents | June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4ff8a27c2e4e364e104333718220fbc5cce4066"/>
    <w:p>
      <w:pPr>
        <w:pStyle w:val="Heading1"/>
      </w:pPr>
      <w:r>
        <w:t xml:space="preserve">CSMGeneralOutreach — COMPILED COMPENDIUM (Mini)</w:t>
      </w:r>
    </w:p>
    <w:bookmarkStart w:id="12" w:name="Xa30698f00432415fc451300a488d7a19348543b"/>
    <w:p>
      <w:pPr>
        <w:pStyle w:val="Heading2"/>
      </w:pPr>
      <w:r>
        <w:t xml:space="preserve">Carrington Storm Motors | Safe Pod Engineering | June 2026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The Signal From the Sun |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House That Doesn’t Go Dark |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Vehicle Hardened |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Grid Underneath Everything |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When Every Second Counts |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Ships, Wings, Space |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Materials Nobody Sees |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Human Body in the Data |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Why We Built All of This</w:t>
      </w:r>
    </w:p>
    <w:p>
      <w:pPr>
        <w:pStyle w:val="BodyText"/>
      </w:pPr>
      <w:r>
        <w:t xml:space="preserve">All parts: Williams Heuristic Communication Standard (CSMSOPP000001, MODULE-V2). Designed as companion to 35 CSMEval sector briefing packets.</w:t>
      </w:r>
    </w:p>
    <w:p>
      <w:r>
        <w:pict>
          <v:rect style="width:0;height:1.5pt" o:hralign="center" o:hrstd="t" o:hr="t"/>
        </w:pict>
      </w:r>
    </w:p>
    <w:bookmarkEnd w:id="12"/>
    <w:bookmarkStart w:id="13" w:name="p1-the-signal-from-the-sun"/>
    <w:p>
      <w:pPr>
        <w:pStyle w:val="Heading2"/>
      </w:pPr>
      <w:r>
        <w:t xml:space="preserve">P1 — THE SIGNAL FROM THE SUN</w:t>
      </w:r>
    </w:p>
    <w:p>
      <w:pPr>
        <w:pStyle w:val="FirstParagraph"/>
      </w:pPr>
      <w:r>
        <w:rPr>
          <w:b/>
          <w:bCs/>
        </w:rPr>
        <w:t xml:space="preserve">1. September 1859:</w:t>
      </w:r>
      <w:r>
        <w:t xml:space="preserve"> </w:t>
      </w:r>
      <w:r>
        <w:t xml:space="preserve">Carrington observed white-light flare. 17.6hr transit (still record). G5 storm hit Earth. Telegraph offices failed globally — some caught fire, operators shocked. Auroras visible in tropics. In 1859, most advanced tech was telegraph. Today it would reach every grid, vehicle, hospital generator, financial system, water plant.</w:t>
      </w:r>
    </w:p>
    <w:p>
      <w:pPr>
        <w:pStyle w:val="BodyText"/>
      </w:pPr>
      <w:r>
        <w:rPr>
          <w:b/>
          <w:bCs/>
        </w:rPr>
        <w:t xml:space="preserve">2. Solar Cycle 25:</w:t>
      </w:r>
      <w:r>
        <w:t xml:space="preserve"> </w:t>
      </w:r>
      <w:r>
        <w:t xml:space="preserve">2019 forecast: SSN ~115. NOAA SWPC Q1 2026 confirmed: ~137. 19% upward revision. We are at or near solar maximum right now.</w:t>
      </w:r>
    </w:p>
    <w:p>
      <w:pPr>
        <w:pStyle w:val="BodyText"/>
      </w:pPr>
      <w:r>
        <w:rPr>
          <w:b/>
          <w:bCs/>
        </w:rPr>
        <w:t xml:space="preserve">3. May 2024 Gannon Storm:</w:t>
      </w:r>
      <w:r>
        <w:t xml:space="preserve"> </w:t>
      </w:r>
      <w:r>
        <w:t xml:space="preserve">G5/Kp9, strongest since 2003. Grid held (NERC protocols). $500-565M U.S. agricultural losses from GPS/GNSS disruption. Measurable transformer stress across North America. Not a scenario — a receipt.</w:t>
      </w:r>
    </w:p>
    <w:p>
      <w:pPr>
        <w:pStyle w:val="BodyText"/>
      </w:pPr>
      <w:r>
        <w:rPr>
          <w:b/>
          <w:bCs/>
        </w:rPr>
        <w:t xml:space="preserve">4. Worse-case cost:</w:t>
      </w:r>
      <w:r>
        <w:t xml:space="preserve"> </w:t>
      </w:r>
      <w:r>
        <w:t xml:space="preserve">Lloyd’s modeled $2.4T global over 5 years. N. American Carrington scenario: $0.6-2.6T. Transformer replacement lead times: up to 12 months. Insurance brokers on alert January 2026 after G4 watch.</w:t>
      </w:r>
    </w:p>
    <w:p>
      <w:r>
        <w:pict>
          <v:rect style="width:0;height:1.5pt" o:hralign="center" o:hrstd="t" o:hr="t"/>
        </w:pict>
      </w:r>
    </w:p>
    <w:bookmarkEnd w:id="13"/>
    <w:bookmarkStart w:id="14" w:name="p2-the-house-that-doesnt-go-dark"/>
    <w:p>
      <w:pPr>
        <w:pStyle w:val="Heading2"/>
      </w:pPr>
      <w:r>
        <w:t xml:space="preserve">P2 — THE HOUSE THAT DOESN’T GO DARK</w:t>
      </w:r>
    </w:p>
    <w:p>
      <w:pPr>
        <w:pStyle w:val="FirstParagraph"/>
      </w:pPr>
      <w:r>
        <w:rPr>
          <w:b/>
          <w:bCs/>
        </w:rPr>
        <w:t xml:space="preserve">1. Stellar-Chill:</w:t>
      </w:r>
      <w:r>
        <w:t xml:space="preserve"> </w:t>
      </w:r>
      <w:r>
        <w:t xml:space="preserve">Electrocaloric cooling instead of compressor — no large motor, no refrigerant loop needing continuous grid power.</w:t>
      </w:r>
    </w:p>
    <w:p>
      <w:pPr>
        <w:pStyle w:val="BodyText"/>
      </w:pPr>
      <w:r>
        <w:rPr>
          <w:b/>
          <w:bCs/>
        </w:rPr>
        <w:t xml:space="preserve">2. Safe-Wave:</w:t>
      </w:r>
      <w:r>
        <w:t xml:space="preserve"> </w:t>
      </w:r>
      <w:r>
        <w:t xml:space="preserve">Solid-state GaN microwave — smaller, efficient, less vulnerable to induced-current damage than magnetron tube.</w:t>
      </w:r>
    </w:p>
    <w:p>
      <w:pPr>
        <w:pStyle w:val="BodyText"/>
      </w:pPr>
      <w:r>
        <w:rPr>
          <w:b/>
          <w:bCs/>
        </w:rPr>
        <w:t xml:space="preserve">3. Stone-Bake / Ancient Hearth:</w:t>
      </w:r>
      <w:r>
        <w:t xml:space="preserve"> </w:t>
      </w:r>
      <w:r>
        <w:t xml:space="preserve">Radiant ceramic heat, controlled combustion in modern form factor — cooking that never needed electricity.</w:t>
      </w:r>
    </w:p>
    <w:p>
      <w:pPr>
        <w:pStyle w:val="BodyText"/>
      </w:pPr>
      <w:r>
        <w:rPr>
          <w:b/>
          <w:bCs/>
        </w:rPr>
        <w:t xml:space="preserve">4. Hot water:</w:t>
      </w:r>
      <w:r>
        <w:t xml:space="preserve"> </w:t>
      </w:r>
      <w:r>
        <w:t xml:space="preserve">Chemically-bonded phosphate ceramic water heater, inflatable, heats without grid.</w:t>
      </w:r>
    </w:p>
    <w:p>
      <w:pPr>
        <w:pStyle w:val="BodyText"/>
      </w:pPr>
      <w:r>
        <w:rPr>
          <w:b/>
          <w:bCs/>
        </w:rPr>
        <w:t xml:space="preserve">5. Building itself:</w:t>
      </w:r>
      <w:r>
        <w:t xml:space="preserve"> </w:t>
      </w:r>
      <w:r>
        <w:t xml:space="preserve">BFRP rebar (no steel), dielectric geopolymer concrete, non-conductive wiring/plumbing, passive Chromatic Field Monitor for household-level EME early warning.</w:t>
      </w:r>
    </w:p>
    <w:p>
      <w:r>
        <w:pict>
          <v:rect style="width:0;height:1.5pt" o:hralign="center" o:hrstd="t" o:hr="t"/>
        </w:pict>
      </w:r>
    </w:p>
    <w:bookmarkEnd w:id="14"/>
    <w:bookmarkStart w:id="15" w:name="X6493a1949696d6b208df3a3b48ddf9ddaa2d316"/>
    <w:p>
      <w:pPr>
        <w:pStyle w:val="Heading2"/>
      </w:pPr>
      <w:r>
        <w:t xml:space="preserve">P3 — THE VEHICLE YOU ALREADY TRUST, HARDENED</w:t>
      </w:r>
    </w:p>
    <w:p>
      <w:pPr>
        <w:pStyle w:val="FirstParagraph"/>
      </w:pPr>
      <w:r>
        <w:rPr>
          <w:b/>
          <w:bCs/>
        </w:rPr>
        <w:t xml:space="preserve">1. Feet and hands:</w:t>
      </w:r>
      <w:r>
        <w:t xml:space="preserve"> </w:t>
      </w:r>
      <w:r>
        <w:t xml:space="preserve">Grounding-Sole and Vibra-Volt pedal covers reduce foot vibration. Neural-Grip steering wrap for hands. Backed by CSMHuman vibration research.</w:t>
      </w:r>
    </w:p>
    <w:p>
      <w:pPr>
        <w:pStyle w:val="BodyText"/>
      </w:pPr>
      <w:r>
        <w:rPr>
          <w:b/>
          <w:bCs/>
        </w:rPr>
        <w:t xml:space="preserve">2. Seat and neck:</w:t>
      </w:r>
      <w:r>
        <w:t xml:space="preserve"> </w:t>
      </w:r>
      <w:r>
        <w:t xml:space="preserve">Cervical-Guard and Mag-Float diamagnetic seat rail — whole-body and cervical vibration protection.</w:t>
      </w:r>
    </w:p>
    <w:p>
      <w:pPr>
        <w:pStyle w:val="BodyText"/>
      </w:pPr>
      <w:r>
        <w:rPr>
          <w:b/>
          <w:bCs/>
        </w:rPr>
        <w:t xml:space="preserve">3. Cabin:</w:t>
      </w:r>
      <w:r>
        <w:t xml:space="preserve"> </w:t>
      </w:r>
      <w:r>
        <w:t xml:space="preserve">Silence-Block door inserts, Stellar-Tint window film — cabin EMI and acoustic noise (especially relevant for EVs).</w:t>
      </w:r>
    </w:p>
    <w:p>
      <w:pPr>
        <w:pStyle w:val="BodyText"/>
      </w:pPr>
      <w:r>
        <w:rPr>
          <w:b/>
          <w:bCs/>
        </w:rPr>
        <w:t xml:space="preserve">4. Post-GPS navigation:</w:t>
      </w:r>
      <w:r>
        <w:t xml:space="preserve"> </w:t>
      </w:r>
      <w:r>
        <w:t xml:space="preserve">Way-Finder haptic insoles — piezoelectric energy-harvesting + LoRa mesh positioning.</w:t>
      </w:r>
    </w:p>
    <w:p>
      <w:pPr>
        <w:pStyle w:val="BodyText"/>
      </w:pPr>
      <w:r>
        <w:rPr>
          <w:b/>
          <w:bCs/>
        </w:rPr>
        <w:t xml:space="preserve">5. Child seat:</w:t>
      </w:r>
      <w:r>
        <w:t xml:space="preserve"> </w:t>
      </w:r>
      <w:r>
        <w:t xml:space="preserve">Cloud-Nest aerogel base — thermal and vibration protection.</w:t>
      </w:r>
    </w:p>
    <w:p>
      <w:r>
        <w:pict>
          <v:rect style="width:0;height:1.5pt" o:hralign="center" o:hrstd="t" o:hr="t"/>
        </w:pict>
      </w:r>
    </w:p>
    <w:bookmarkEnd w:id="15"/>
    <w:bookmarkStart w:id="16" w:name="p4-the-grid-underneath-everything"/>
    <w:p>
      <w:pPr>
        <w:pStyle w:val="Heading2"/>
      </w:pPr>
      <w:r>
        <w:t xml:space="preserve">P4 — THE GRID UNDERNEATH EVERYTHING</w:t>
      </w:r>
    </w:p>
    <w:p>
      <w:pPr>
        <w:pStyle w:val="FirstParagraph"/>
      </w:pPr>
      <w:r>
        <w:rPr>
          <w:b/>
          <w:bCs/>
        </w:rPr>
        <w:t xml:space="preserve">1. Electric grid:</w:t>
      </w:r>
      <w:r>
        <w:t xml:space="preserve"> </w:t>
      </w:r>
      <w:r>
        <w:t xml:space="preserve">Composite non-metallic transmission structures, dielectric substation fencing, low-cost passive field monitor.</w:t>
      </w:r>
    </w:p>
    <w:p>
      <w:pPr>
        <w:pStyle w:val="BodyText"/>
      </w:pPr>
      <w:r>
        <w:rPr>
          <w:b/>
          <w:bCs/>
        </w:rPr>
        <w:t xml:space="preserve">2. Bridges:</w:t>
      </w:r>
      <w:r>
        <w:t xml:space="preserve"> </w:t>
      </w:r>
      <w:r>
        <w:t xml:space="preserve">Audit methodology applied to 4 metro areas — steel girders/cables concentrate storm current like transmission lines.</w:t>
      </w:r>
    </w:p>
    <w:p>
      <w:pPr>
        <w:pStyle w:val="BodyText"/>
      </w:pPr>
      <w:r>
        <w:rPr>
          <w:b/>
          <w:bCs/>
        </w:rPr>
        <w:t xml:space="preserve">3. Pipelines:</w:t>
      </w:r>
      <w:r>
        <w:t xml:space="preserve"> </w:t>
      </w:r>
      <w:r>
        <w:t xml:space="preserve">Steel pipelines experience storm-driven corrosion at cathodic-protection joints. GFRP pipe alternative removes steel pathway.</w:t>
      </w:r>
    </w:p>
    <w:p>
      <w:pPr>
        <w:pStyle w:val="BodyText"/>
      </w:pPr>
      <w:r>
        <w:rPr>
          <w:b/>
          <w:bCs/>
        </w:rPr>
        <w:t xml:space="preserve">4. Water systems:</w:t>
      </w:r>
      <w:r>
        <w:t xml:space="preserve"> </w:t>
      </w:r>
      <w:r>
        <w:t xml:space="preserve">Treatment depends on grid power. Buried metal pipes carry storm-current exposure. No mandatory storm-hardening standard exists — being early still matters.</w:t>
      </w:r>
    </w:p>
    <w:p>
      <w:pPr>
        <w:pStyle w:val="BodyText"/>
      </w:pPr>
      <w:r>
        <w:rPr>
          <w:b/>
          <w:bCs/>
        </w:rPr>
        <w:t xml:space="preserve">5. Rail:</w:t>
      </w:r>
      <w:r>
        <w:t xml:space="preserve"> </w:t>
      </w:r>
      <w:r>
        <w:t xml:space="preserve">Continuous-welded rail and catenary wires = long-conductor geometry. Signaling failure is real-time safety question.</w:t>
      </w:r>
    </w:p>
    <w:p>
      <w:r>
        <w:pict>
          <v:rect style="width:0;height:1.5pt" o:hralign="center" o:hrstd="t" o:hr="t"/>
        </w:pict>
      </w:r>
    </w:p>
    <w:bookmarkEnd w:id="16"/>
    <w:bookmarkStart w:id="17" w:name="p5-when-every-second-counts"/>
    <w:p>
      <w:pPr>
        <w:pStyle w:val="Heading2"/>
      </w:pPr>
      <w:r>
        <w:t xml:space="preserve">P5 — WHEN EVERY SECOND COUNTS</w:t>
      </w:r>
    </w:p>
    <w:p>
      <w:pPr>
        <w:pStyle w:val="FirstParagraph"/>
      </w:pPr>
      <w:r>
        <w:rPr>
          <w:b/>
          <w:bCs/>
        </w:rPr>
        <w:t xml:space="preserve">1. Timeline:</w:t>
      </w:r>
      <w:r>
        <w:t xml:space="preserve"> </w:t>
      </w:r>
      <w:r>
        <w:t xml:space="preserve">Traffic signals fail T+15min, cell towers T+45min, major bridges T+8hrs. Most evac planning assumes far longer.</w:t>
      </w:r>
    </w:p>
    <w:p>
      <w:pPr>
        <w:pStyle w:val="BodyText"/>
      </w:pPr>
      <w:r>
        <w:rPr>
          <w:b/>
          <w:bCs/>
        </w:rPr>
        <w:t xml:space="preserve">2. Warning:</w:t>
      </w:r>
      <w:r>
        <w:t xml:space="preserve"> </w:t>
      </w:r>
      <w:r>
        <w:t xml:space="preserve">Schumann Resonance monitoring: 4-6hr pre-impact warning (vs. current 15-45min).</w:t>
      </w:r>
    </w:p>
    <w:p>
      <w:pPr>
        <w:pStyle w:val="BodyText"/>
      </w:pPr>
      <w:r>
        <w:rPr>
          <w:b/>
          <w:bCs/>
        </w:rPr>
        <w:t xml:space="preserve">3. High-rise evac:</w:t>
      </w:r>
      <w:r>
        <w:t xml:space="preserve"> </w:t>
      </w:r>
      <w:r>
        <w:t xml:space="preserve">Aegis-Ascension drone backpack — 250kg capacity, non-conductive airframe, no GPS dependency.</w:t>
      </w:r>
    </w:p>
    <w:p>
      <w:pPr>
        <w:pStyle w:val="BodyText"/>
      </w:pPr>
      <w:r>
        <w:rPr>
          <w:b/>
          <w:bCs/>
        </w:rPr>
        <w:t xml:space="preserve">4. Shelter:</w:t>
      </w:r>
      <w:r>
        <w:t xml:space="preserve"> </w:t>
      </w:r>
      <w:r>
        <w:t xml:space="preserve">Shipping-container emergency shelter — fully non-conductive shell (steel container = large antenna during storm).</w:t>
      </w:r>
    </w:p>
    <w:p>
      <w:pPr>
        <w:pStyle w:val="BodyText"/>
      </w:pPr>
      <w:r>
        <w:rPr>
          <w:b/>
          <w:bCs/>
        </w:rPr>
        <w:t xml:space="preserve">5. Communications:</w:t>
      </w:r>
      <w:r>
        <w:t xml:space="preserve"> </w:t>
      </w:r>
      <w:r>
        <w:t xml:space="preserve">256-node LoRa mesh, solar-charged, self-organizing, 30-day autonomous operation, no central hub or GPS.</w:t>
      </w:r>
    </w:p>
    <w:p>
      <w:r>
        <w:pict>
          <v:rect style="width:0;height:1.5pt" o:hralign="center" o:hrstd="t" o:hr="t"/>
        </w:pict>
      </w:r>
    </w:p>
    <w:bookmarkEnd w:id="17"/>
    <w:bookmarkStart w:id="18" w:name="p6-ships-wings-and-the-space-beyond"/>
    <w:p>
      <w:pPr>
        <w:pStyle w:val="Heading2"/>
      </w:pPr>
      <w:r>
        <w:t xml:space="preserve">P6 — SHIPS, WINGS, AND THE SPACE BEYOND</w:t>
      </w:r>
    </w:p>
    <w:p>
      <w:pPr>
        <w:pStyle w:val="FirstParagraph"/>
      </w:pPr>
      <w:r>
        <w:rPr>
          <w:b/>
          <w:bCs/>
        </w:rPr>
        <w:t xml:space="preserve">1. At sea:</w:t>
      </w:r>
      <w:r>
        <w:t xml:space="preserve"> </w:t>
      </w:r>
      <w:r>
        <w:t xml:space="preserve">Fleet-wide resilience retrofit (real cruise line case study) — hull, cabins, propulsion. Charlemagne Class: amphibious biomimetic hulls.</w:t>
      </w:r>
    </w:p>
    <w:p>
      <w:pPr>
        <w:pStyle w:val="BodyText"/>
      </w:pPr>
      <w:r>
        <w:rPr>
          <w:b/>
          <w:bCs/>
        </w:rPr>
        <w:t xml:space="preserve">2. In the air:</w:t>
      </w:r>
      <w:r>
        <w:t xml:space="preserve"> </w:t>
      </w:r>
      <w:r>
        <w:t xml:space="preserve">A-10 Thunderbolt II redesign in non-inductive composites — fully worked feasibility study, dual-use (natural EME + directed energy).</w:t>
      </w:r>
    </w:p>
    <w:p>
      <w:pPr>
        <w:pStyle w:val="BodyText"/>
      </w:pPr>
      <w:r>
        <w:rPr>
          <w:b/>
          <w:bCs/>
        </w:rPr>
        <w:t xml:space="preserve">3. Humanoid robots:</w:t>
      </w:r>
      <w:r>
        <w:t xml:space="preserve"> </w:t>
      </w:r>
      <w:r>
        <w:t xml:space="preserve">EME hardening case studies (legacy platform + Mars colonization). Distinctive anti-capture security architecture.</w:t>
      </w:r>
    </w:p>
    <w:p>
      <w:pPr>
        <w:pStyle w:val="BodyText"/>
      </w:pPr>
      <w:r>
        <w:rPr>
          <w:b/>
          <w:bCs/>
        </w:rPr>
        <w:t xml:space="preserve">4. In orbit:</w:t>
      </w:r>
      <w:r>
        <w:t xml:space="preserve"> </w:t>
      </w:r>
      <w:r>
        <w:t xml:space="preserve">Smart Rope launch-assist actuator, underwater/orbital kinetic launch concept — early-stage, honestly labeled.</w:t>
      </w:r>
    </w:p>
    <w:p>
      <w:pPr>
        <w:pStyle w:val="BodyText"/>
      </w:pPr>
      <w:r>
        <w:rPr>
          <w:b/>
          <w:bCs/>
        </w:rPr>
        <w:t xml:space="preserve">5. Uncrewed:</w:t>
      </w:r>
      <w:r>
        <w:t xml:space="preserve"> </w:t>
      </w:r>
      <w:r>
        <w:t xml:space="preserve">Wind-energy drone, wearable evac drone, sub-250g university research platform.</w:t>
      </w:r>
    </w:p>
    <w:p>
      <w:r>
        <w:pict>
          <v:rect style="width:0;height:1.5pt" o:hralign="center" o:hrstd="t" o:hr="t"/>
        </w:pict>
      </w:r>
    </w:p>
    <w:bookmarkEnd w:id="18"/>
    <w:bookmarkStart w:id="19" w:name="p7-the-materials-nobody-sees"/>
    <w:p>
      <w:pPr>
        <w:pStyle w:val="Heading2"/>
      </w:pPr>
      <w:r>
        <w:t xml:space="preserve">P7 — THE MATERIALS NOBODY SEES</w:t>
      </w:r>
    </w:p>
    <w:p>
      <w:pPr>
        <w:pStyle w:val="FirstParagraph"/>
      </w:pPr>
      <w:r>
        <w:rPr>
          <w:b/>
          <w:bCs/>
        </w:rPr>
        <w:t xml:space="preserve">1. Ceramics and fabrics:</w:t>
      </w:r>
      <w:r>
        <w:t xml:space="preserve"> </w:t>
      </w:r>
      <w:r>
        <w:t xml:space="preserve">UHTC and basalt-fiber composites. Real commercial supply chains exist (basalt fiber, geopolymer concrete).</w:t>
      </w:r>
    </w:p>
    <w:p>
      <w:pPr>
        <w:pStyle w:val="BodyText"/>
      </w:pPr>
      <w:r>
        <w:rPr>
          <w:b/>
          <w:bCs/>
        </w:rPr>
        <w:t xml:space="preserve">2. EMI coating:</w:t>
      </w:r>
      <w:r>
        <w:t xml:space="preserve"> </w:t>
      </w:r>
      <w:r>
        <w:t xml:space="preserve">MXene-based shielding — 90+ dB effectiveness on ordinary structures.</w:t>
      </w:r>
    </w:p>
    <w:p>
      <w:pPr>
        <w:pStyle w:val="BodyText"/>
      </w:pPr>
      <w:r>
        <w:rPr>
          <w:b/>
          <w:bCs/>
        </w:rPr>
        <w:t xml:space="preserve">3. Magnets:</w:t>
      </w:r>
      <w:r>
        <w:t xml:space="preserve"> </w:t>
      </w:r>
      <w:r>
        <w:t xml:space="preserve">Iron-nitride rare-earth-free magnets — alternative to China’s ~90% global production. Active federal tax credits, real facilities breaking ground.</w:t>
      </w:r>
    </w:p>
    <w:p>
      <w:pPr>
        <w:pStyle w:val="BodyText"/>
      </w:pPr>
      <w:r>
        <w:rPr>
          <w:b/>
          <w:bCs/>
        </w:rPr>
        <w:t xml:space="preserve">4. Aegis-Forge:</w:t>
      </w:r>
      <w:r>
        <w:t xml:space="preserve"> </w:t>
      </w:r>
      <w:r>
        <w:t xml:space="preserve">Thermal-cascade inductive separator recovers indium, yttrium, cobalt, titanium from end-of-life. 15-30% lifecycle cost recovery.</w:t>
      </w:r>
    </w:p>
    <w:p>
      <w:r>
        <w:pict>
          <v:rect style="width:0;height:1.5pt" o:hralign="center" o:hrstd="t" o:hr="t"/>
        </w:pict>
      </w:r>
    </w:p>
    <w:bookmarkEnd w:id="19"/>
    <w:bookmarkStart w:id="20" w:name="p8-the-human-body-in-the-data"/>
    <w:p>
      <w:pPr>
        <w:pStyle w:val="Heading2"/>
      </w:pPr>
      <w:r>
        <w:t xml:space="preserve">P8 — THE HUMAN BODY IN THE DATA</w:t>
      </w:r>
    </w:p>
    <w:p>
      <w:pPr>
        <w:pStyle w:val="FirstParagraph"/>
      </w:pPr>
      <w:r>
        <w:rPr>
          <w:b/>
          <w:bCs/>
        </w:rPr>
        <w:t xml:space="preserve">1. Vibration standard:</w:t>
      </w:r>
      <w:r>
        <w:t xml:space="preserve"> </w:t>
      </w:r>
      <w:r>
        <w:t xml:space="preserve">ISO 5349 (updated Dec 2025 with shock/impulse metric). Lower-cost wearable sensor validated for exposure monitoring.</w:t>
      </w:r>
    </w:p>
    <w:p>
      <w:pPr>
        <w:pStyle w:val="BodyText"/>
      </w:pPr>
      <w:r>
        <w:rPr>
          <w:b/>
          <w:bCs/>
        </w:rPr>
        <w:t xml:space="preserve">2. Molecular mechanism:</w:t>
      </w:r>
      <w:r>
        <w:t xml:space="preserve"> </w:t>
      </w:r>
      <w:r>
        <w:t xml:space="preserve">Piezo1 (mechanosensitive protein) explains at cellular level why sustained vibration damages blood vessels.</w:t>
      </w:r>
    </w:p>
    <w:p>
      <w:pPr>
        <w:pStyle w:val="BodyText"/>
      </w:pPr>
      <w:r>
        <w:rPr>
          <w:b/>
          <w:bCs/>
        </w:rPr>
        <w:t xml:space="preserve">3. Defibrillation:</w:t>
      </w:r>
      <w:r>
        <w:t xml:space="preserve"> </w:t>
      </w:r>
      <w:r>
        <w:t xml:space="preserve">DSED and Vector-Change approaches for refractory VF — active clinical evidence base.</w:t>
      </w:r>
    </w:p>
    <w:p>
      <w:pPr>
        <w:pStyle w:val="BodyText"/>
      </w:pPr>
      <w:r>
        <w:rPr>
          <w:b/>
          <w:bCs/>
        </w:rPr>
        <w:t xml:space="preserve">4. Acoustic diagnostics:</w:t>
      </w:r>
      <w:r>
        <w:t xml:space="preserve"> </w:t>
      </w:r>
      <w:r>
        <w:t xml:space="preserve">Ultrasonic Doppler vibrometry for coronary artery disease.</w:t>
      </w:r>
    </w:p>
    <w:p>
      <w:pPr>
        <w:pStyle w:val="BodyText"/>
      </w:pPr>
      <w:r>
        <w:rPr>
          <w:b/>
          <w:bCs/>
        </w:rPr>
        <w:t xml:space="preserve">5. Why hardware company did this:</w:t>
      </w:r>
      <w:r>
        <w:t xml:space="preserve"> </w:t>
      </w:r>
      <w:r>
        <w:t xml:space="preserve">Every product contacts a human body. Biomechanical homework came first.</w:t>
      </w:r>
    </w:p>
    <w:p>
      <w:r>
        <w:pict>
          <v:rect style="width:0;height:1.5pt" o:hralign="center" o:hrstd="t" o:hr="t"/>
        </w:pict>
      </w:r>
    </w:p>
    <w:bookmarkEnd w:id="20"/>
    <w:bookmarkStart w:id="21" w:name="p9-why-we-built-all-of-this"/>
    <w:p>
      <w:pPr>
        <w:pStyle w:val="Heading2"/>
      </w:pPr>
      <w:r>
        <w:t xml:space="preserve">P9 — WHY WE BUILT ALL OF THIS</w:t>
      </w:r>
    </w:p>
    <w:p>
      <w:pPr>
        <w:pStyle w:val="FirstParagraph"/>
      </w:pPr>
      <w:r>
        <w:rPr>
          <w:b/>
          <w:bCs/>
        </w:rPr>
        <w:t xml:space="preserve">The Honest Business Case:</w:t>
      </w:r>
      <w:r>
        <w:t xml:space="preserve"> </w:t>
      </w:r>
      <w:r>
        <w:t xml:space="preserve">Hazard is real, well-documented, under-addressed relative to insurance pricing (Lloyd’s: $2.4T global, $0.6-2.6T N. American). Building hardware, materials, and protocols is both a genuine engineering opportunity and the right thing to be doing in 2026 at this solar cycle peak.</w:t>
      </w:r>
    </w:p>
    <w:p>
      <w:pPr>
        <w:pStyle w:val="BodyText"/>
      </w:pPr>
      <w:r>
        <w:rPr>
          <w:b/>
          <w:bCs/>
        </w:rPr>
        <w:t xml:space="preserve">How to Reach Us:</w:t>
      </w:r>
      <w:r>
        <w:t xml:space="preserve"> </w:t>
      </w:r>
      <w:r>
        <w:t xml:space="preserve">Reply identifying which part (1-8) is relevant. If you received a tailored sector briefing, follow its specific next steps. Researchers, journalists, skeptics: tell us what we got wrong — Data Sacred principle means we’d rather be corrected now than quoted inaccurately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Mini Compendium | 9 parts compressed from full CSMGeneralOutreach series | June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links-contact"/>
    <w:p>
      <w:pPr>
        <w:pStyle w:val="Heading2"/>
      </w:pPr>
      <w:r>
        <w:t xml:space="preserve">Links &amp; Contact</w:t>
      </w:r>
    </w:p>
    <w:p>
      <w:pPr>
        <w:pStyle w:val="FirstParagraph"/>
      </w:pPr>
      <w:r>
        <w:rPr>
          <w:b/>
          <w:bCs/>
        </w:rPr>
        <w:t xml:space="preserve">Compendium:</w:t>
      </w:r>
      <w:r>
        <w:t xml:space="preserve"> </w:t>
      </w:r>
      <w:r>
        <w:t xml:space="preserve">https://github.com/ZirconiaAegisC/CarrPod/blob/main/CSMGeneralOutreach/CSMGeneralOutreach-COMPILED-Compendium.md</w:t>
      </w:r>
    </w:p>
    <w:p>
      <w:pPr>
        <w:pStyle w:val="BodyText"/>
      </w:pPr>
      <w:r>
        <w:rPr>
          <w:b/>
          <w:bCs/>
        </w:rPr>
        <w:t xml:space="preserve">Web:</w:t>
      </w:r>
      <w:r>
        <w:t xml:space="preserve"> </w:t>
      </w:r>
      <w:r>
        <w:t xml:space="preserve">www.CarrPod.Net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Zirconia@AegisC.Space | JasonBrodsky@Hotmail.com</w:t>
      </w:r>
    </w:p>
    <w:p>
      <w:pPr>
        <w:pStyle w:val="BodyText"/>
      </w:pPr>
      <w:r>
        <w:t xml:space="preserve">— Carrington Storm Motors | Safe Pod Engineering Company</w:t>
      </w:r>
      <w:r>
        <w:t xml:space="preserve"> </w:t>
      </w:r>
      <w:r>
        <w:rPr>
          <w:i/>
          <w:iCs/>
        </w:rPr>
        <w:t xml:space="preserve">CSMEval15 |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CSMEval15 Combined Email Body</dc:title>
  <dc:creator/>
  <cp:keywords/>
  <dcterms:created xsi:type="dcterms:W3CDTF">2026-07-03T03:30:42Z</dcterms:created>
  <dcterms:modified xsi:type="dcterms:W3CDTF">2026-07-03T03:30:42Z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