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CSMEval20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Project Aegis-Rail’s catenary/signaling</w:t>
      </w:r>
      <w:r>
        <w:t xml:space="preserve"> </w:t>
      </w:r>
      <w:r>
        <w:t xml:space="preserve">hardening framework and PTC GNSS-disruption resilience research from</w:t>
      </w:r>
      <w:r>
        <w:t xml:space="preserve"> </w:t>
      </w:r>
      <w:r>
        <w:t xml:space="preserve">Carrington Storm Motors, framed for your capital-planning process rather</w:t>
      </w:r>
      <w:r>
        <w:t xml:space="preserve"> </w:t>
      </w:r>
      <w:r>
        <w:t xml:space="preserve">than FRA’s regulatory one. We’d welcome a technical-committee conversation</w:t>
      </w:r>
      <w:r>
        <w:t xml:space="preserve"> </w:t>
      </w:r>
      <w:r>
        <w:t xml:space="preserve">at AAR or APTA’s Rail Conference, whichever matches your network.</w:t>
      </w:r>
    </w:p>
    <w:p>
      <w:pPr>
        <w:pStyle w:val="BodyText"/>
      </w:pPr>
      <w:r>
        <w:t xml:space="preserve">Appreciate the work of running a system where</w:t>
      </w:r>
      <w:r>
        <w:t xml:space="preserve"> </w:t>
      </w:r>
      <w:r>
        <w:t xml:space="preserve">“on time”</w:t>
      </w:r>
      <w:r>
        <w:t xml:space="preserve"> </w:t>
      </w:r>
      <w:r>
        <w:t xml:space="preserve">and</w:t>
      </w:r>
      <w:r>
        <w:t xml:space="preserve"> </w:t>
      </w:r>
      <w:r>
        <w:t xml:space="preserve">“safe”</w:t>
      </w:r>
      <w:r>
        <w:t xml:space="preserve"> </w:t>
      </w:r>
      <w:r>
        <w:t xml:space="preserve">both have</w:t>
      </w:r>
      <w:r>
        <w:t xml:space="preserve"> </w:t>
      </w:r>
      <w:r>
        <w:t xml:space="preserve">to be true at once.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20-compiled-briefing-packet"/>
    <w:p>
      <w:pPr>
        <w:pStyle w:val="Heading1"/>
      </w:pPr>
      <w:r>
        <w:t xml:space="preserve">CSMEval20 — COMPILED BRIEFING PACKET</w:t>
      </w:r>
    </w:p>
    <w:bookmarkStart w:id="10" w:name="freight-passenger-rail-operators"/>
    <w:p>
      <w:pPr>
        <w:pStyle w:val="Heading2"/>
      </w:pPr>
      <w:r>
        <w:t xml:space="preserve">Freight &amp; Passenger Rail Operators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(CSMEval20),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The Capital Budget This Actually Runs Through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Your PTC Investment Deserves a Matching Hardening Investment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Freight and Passenger Split, on Purpose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Rail &amp; Transit Systems Division | "Move Together. Move Smart. Move Now."</w:t>
      </w:r>
    </w:p>
    <w:p>
      <w:pPr>
        <w:pStyle w:val="FirstParagraph"/>
      </w:pPr>
      <w:r>
        <w:t xml:space="preserve">FRA sets the safety policy. Your capital committee signs the check. This</w:t>
      </w:r>
      <w:r>
        <w:t xml:space="preserve"> </w:t>
      </w:r>
      <w:r>
        <w:t xml:space="preserve">briefing is addressed to the people who sign the check — the same Project</w:t>
      </w:r>
      <w:r>
        <w:t xml:space="preserve"> </w:t>
      </w:r>
      <w:r>
        <w:t xml:space="preserve">Aegis-Rail framework described to FRA and Amtrak (CSMEval07), reframed for</w:t>
      </w:r>
      <w:r>
        <w:t xml:space="preserve"> </w:t>
      </w:r>
      <w:r>
        <w:t xml:space="preserve">whoever actually approves catenary and signaling capital spend at a Class I</w:t>
      </w:r>
      <w:r>
        <w:t xml:space="preserve"> </w:t>
      </w:r>
      <w:r>
        <w:t xml:space="preserve">freight railroad, commuter authority, or metro operator.</w:t>
      </w:r>
    </w:p>
    <w:p>
      <w:pPr>
        <w:pStyle w:val="SourceCode"/>
      </w:pPr>
      <w:r>
        <w:rPr>
          <w:rStyle w:val="VerbatimChar"/>
        </w:rPr>
        <w:t xml:space="preserve">             THE CAPITAL BUDGET THIS ACTUALLY RUNS THROUGH</w:t>
      </w:r>
      <w:r>
        <w:br/>
      </w:r>
      <w:r>
        <w:rPr>
          <w:rStyle w:val="VerbatimChar"/>
        </w:rPr>
        <w:t xml:space="preserve">             CSMEval20-A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Project Aegis-Rail and related CSM research from the private</w:t>
      </w:r>
      <w:r>
        <w:t xml:space="preserve"> </w:t>
      </w:r>
      <w:r>
        <w:t xml:space="preserve">operator’s capital-planning perspective, rather than the federal-regulatory</w:t>
      </w:r>
      <w:r>
        <w:t xml:space="preserve"> </w:t>
      </w:r>
      <w:r>
        <w:t xml:space="preserve">perspective.</w:t>
      </w:r>
    </w:p>
    <w:p>
      <w:pPr>
        <w:pStyle w:val="Compact"/>
        <w:numPr>
          <w:ilvl w:val="0"/>
          <w:numId w:val="1002"/>
        </w:numPr>
      </w:pPr>
      <w:r>
        <w:t xml:space="preserve">PROJECT AEGIS-RAIL — dielectric hardening framework for catenary and</w:t>
      </w:r>
      <w:r>
        <w:t xml:space="preserve"> </w:t>
      </w:r>
      <w:r>
        <w:t xml:space="preserve">trackside signaling circuits (CSMProRail2026).</w:t>
      </w:r>
    </w:p>
    <w:p>
      <w:pPr>
        <w:pStyle w:val="Compact"/>
        <w:numPr>
          <w:ilvl w:val="0"/>
          <w:numId w:val="1002"/>
        </w:numPr>
      </w:pPr>
      <w:r>
        <w:t xml:space="preserve">WAY-FINDER HAPTIC/LORA NAVIGATION CONCEPT — PTC GNSS-timing disruption</w:t>
      </w:r>
      <w:r>
        <w:t xml:space="preserve"> </w:t>
      </w:r>
      <w:r>
        <w:t xml:space="preserve">resilience (CSMFAB038), directly relevant given the May 2024 Gannon</w:t>
      </w:r>
      <w:r>
        <w:t xml:space="preserve"> </w:t>
      </w:r>
      <w:r>
        <w:t xml:space="preserve">Storm’s documented effect on GPS-guided agricultural equipment.</w:t>
      </w:r>
    </w:p>
    <w:p>
      <w:pPr>
        <w:pStyle w:val="Compact"/>
        <w:numPr>
          <w:ilvl w:val="0"/>
          <w:numId w:val="1002"/>
        </w:numPr>
      </w:pPr>
      <w:r>
        <w:t xml:space="preserve">NON-METALLIC STRUCTURAL COMPONENTS — BFRP rebar and composite monopole</w:t>
      </w:r>
      <w:r>
        <w:t xml:space="preserve"> </w:t>
      </w:r>
      <w:r>
        <w:t xml:space="preserve">precedent, applicable to bridges, stations, and right-of-way structures</w:t>
      </w:r>
      <w:r>
        <w:t xml:space="preserve"> </w:t>
      </w:r>
      <w:r>
        <w:t xml:space="preserve">an operator owns directly (CSMFAB09, CSMFAB0105).</w:t>
      </w:r>
    </w:p>
    <w:p>
      <w:pPr>
        <w:pStyle w:val="Compact"/>
        <w:numPr>
          <w:ilvl w:val="0"/>
          <w:numId w:val="1002"/>
        </w:numPr>
      </w:pPr>
      <w:r>
        <w:t xml:space="preserve">CREW OCCUPATIONAL VIBRATION RESEARCH — CSMHuman vibration/HAVS research,</w:t>
      </w:r>
      <w:r>
        <w:t xml:space="preserve"> </w:t>
      </w:r>
      <w:r>
        <w:t xml:space="preserve">relevant to rolling-stock crew-comfort and safety engineering.</w:t>
      </w:r>
    </w:p>
    <w:p>
      <w:pPr>
        <w:pStyle w:val="FirstParagraph"/>
      </w:pPr>
      <w:r>
        <w:t xml:space="preserve">WHY THIS IS A SEPARATE BRIEFING FROM THE FEDERAL VERSION</w:t>
      </w:r>
      <w:r>
        <w:t xml:space="preserve"> </w:t>
      </w:r>
      <w:r>
        <w:t xml:space="preserve">FRA doesn’t own rolling stock or catenary — you do. The technical case is</w:t>
      </w:r>
      <w:r>
        <w:t xml:space="preserve"> </w:t>
      </w:r>
      <w:r>
        <w:t xml:space="preserve">identical to CSMEval07; the capital-approval conversation is completely</w:t>
      </w:r>
      <w:r>
        <w:t xml:space="preserve"> </w:t>
      </w:r>
      <w:r>
        <w:t xml:space="preserve">different, which is why this briefing exists on its own.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operator-specific case for why PTC’s GNSS dependency</w:t>
      </w:r>
      <w:r>
        <w:t xml:space="preserve"> </w:t>
      </w:r>
      <w:r>
        <w:t xml:space="preserve">raises the stakes on a decision your engineering team, not FRA, ultimately</w:t>
      </w:r>
      <w:r>
        <w:t xml:space="preserve"> </w:t>
      </w:r>
      <w:r>
        <w:t xml:space="preserve">makes.</w:t>
      </w:r>
    </w:p>
    <w:p>
      <w:pPr>
        <w:pStyle w:val="BodyText"/>
      </w:pPr>
      <w:r>
        <w:t xml:space="preserve">Same framework FRA saw. Addressed to whoever actually signs the purchase order.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"Safety Is Not A Metric. It's A Commitment."</w:t>
      </w:r>
    </w:p>
    <w:p>
      <w:pPr>
        <w:pStyle w:val="FirstParagraph"/>
      </w:pPr>
      <w:r>
        <w:t xml:space="preserve">Positive Train Control was, correctly, one of the biggest safety investments</w:t>
      </w:r>
      <w:r>
        <w:t xml:space="preserve"> </w:t>
      </w:r>
      <w:r>
        <w:t xml:space="preserve">your industry has made in a generation. It also quietly added a GNSS-timing</w:t>
      </w:r>
      <w:r>
        <w:t xml:space="preserve"> </w:t>
      </w:r>
      <w:r>
        <w:t xml:space="preserve">dependency that didn’t exist in the older systems it replaced — worth</w:t>
      </w:r>
      <w:r>
        <w:t xml:space="preserve"> </w:t>
      </w:r>
      <w:r>
        <w:t xml:space="preserve">naming plainly, not as a criticism of PTC, but as an honest accounting of</w:t>
      </w:r>
      <w:r>
        <w:t xml:space="preserve"> </w:t>
      </w:r>
      <w:r>
        <w:t xml:space="preserve">what changed.</w:t>
      </w:r>
    </w:p>
    <w:p>
      <w:pPr>
        <w:pStyle w:val="SourceCode"/>
      </w:pPr>
      <w:r>
        <w:rPr>
          <w:rStyle w:val="VerbatimChar"/>
        </w:rPr>
        <w:t xml:space="preserve">             YOUR PTC INVESTMENT DESERVES A MATCHING HARDENING INVESTMENT</w:t>
      </w:r>
      <w:r>
        <w:br/>
      </w:r>
      <w:r>
        <w:rPr>
          <w:rStyle w:val="VerbatimChar"/>
        </w:rPr>
        <w:t xml:space="preserve">             CSMEval20-B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Make the operator-specific capital case for pairing PTC/signaling investment</w:t>
      </w:r>
      <w:r>
        <w:t xml:space="preserve"> </w:t>
      </w:r>
      <w:r>
        <w:t xml:space="preserve">with GIC/GNSS-disruption hardening, building on the federal-regulatory case</w:t>
      </w:r>
      <w:r>
        <w:t xml:space="preserve"> </w:t>
      </w:r>
      <w:r>
        <w:t xml:space="preserve">already presented in CSMEval07.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Continuous-welded rail is a long-conductor GIC pathway with the same</w:t>
      </w:r>
      <w:r>
        <w:t xml:space="preserve"> </w:t>
      </w:r>
      <w:r>
        <w:t xml:space="preserve">physics as a transmission line — a structural/electrical exposure that</w:t>
      </w:r>
      <w:r>
        <w:t xml:space="preserve"> </w:t>
      </w:r>
      <w:r>
        <w:t xml:space="preserve">predates PTC but compounds with it.</w:t>
      </w:r>
      <w:r>
        <w:t xml:space="preserve"> </w:t>
      </w:r>
      <w:r>
        <w:t xml:space="preserve">• Modern PTC systems add a GNSS/timing dependency that mirrors the</w:t>
      </w:r>
      <w:r>
        <w:t xml:space="preserve"> </w:t>
      </w:r>
      <w:r>
        <w:t xml:space="preserve">GPS-disruption risk documented in the May 2024 Gannon Storm’s effect on</w:t>
      </w:r>
      <w:r>
        <w:t xml:space="preserve"> </w:t>
      </w:r>
      <w:r>
        <w:t xml:space="preserve">farm equipment.</w:t>
      </w:r>
      <w:r>
        <w:t xml:space="preserve"> </w:t>
      </w:r>
      <w:r>
        <w:t xml:space="preserve">• The actual capital-budget decisions for catenary, signaling, and</w:t>
      </w:r>
      <w:r>
        <w:t xml:space="preserve"> </w:t>
      </w:r>
      <w:r>
        <w:t xml:space="preserve">rolling-stock hardening are made by operating companies themselves, not by</w:t>
      </w:r>
      <w:r>
        <w:t xml:space="preserve"> </w:t>
      </w:r>
      <w:r>
        <w:t xml:space="preserve">FRA — meaning this conversation has to happen here, not just at the</w:t>
      </w:r>
      <w:r>
        <w:t xml:space="preserve"> </w:t>
      </w:r>
      <w:r>
        <w:t xml:space="preserve">federal level.</w:t>
      </w:r>
      <w:r>
        <w:t xml:space="preserve"> </w:t>
      </w:r>
      <w:r>
        <w:t xml:space="preserve">• Short line and regional freight railroads, commuter authorities, and urban</w:t>
      </w:r>
      <w:r>
        <w:t xml:space="preserve"> </w:t>
      </w:r>
      <w:r>
        <w:t xml:space="preserve">light rail/metro operators each carry this exposure at their own scale,</w:t>
      </w:r>
      <w:r>
        <w:t xml:space="preserve"> </w:t>
      </w:r>
      <w:r>
        <w:t xml:space="preserve">independent of Class I freight’s larger footprint.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PTC’s safety benefits under normal conditions don’t offset a GNSS-</w:t>
      </w:r>
      <w:r>
        <w:t xml:space="preserve"> </w:t>
      </w:r>
      <w:r>
        <w:t xml:space="preserve">disruption scenario the system wasn’t originally designed against.</w:t>
      </w:r>
      <w:r>
        <w:t xml:space="preserve"> </w:t>
      </w:r>
      <w:r>
        <w:t xml:space="preserve">• Capital committees that treat PTC as a completed safety investment, full</w:t>
      </w:r>
      <w:r>
        <w:t xml:space="preserve"> </w:t>
      </w:r>
      <w:r>
        <w:t xml:space="preserve">stop, may not recognize the follow-on hardening decision as connected to</w:t>
      </w:r>
      <w:r>
        <w:t xml:space="preserve"> </w:t>
      </w:r>
      <w:r>
        <w:t xml:space="preserve">the same original safety case.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AAR and APTA as the two channels most likely to reach</w:t>
      </w:r>
      <w:r>
        <w:t xml:space="preserve"> </w:t>
      </w:r>
      <w:r>
        <w:t xml:space="preserve">your specific capital-planning audience, split by freight/passenger focus.</w:t>
      </w:r>
    </w:p>
    <w:p>
      <w:pPr>
        <w:pStyle w:val="BodyText"/>
      </w:pPr>
      <w:r>
        <w:t xml:space="preserve">PTC changed what the system depends on. The hardening conversation should change with it.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"Where Good Work Gets Done"</w:t>
      </w:r>
    </w:p>
    <w:p>
      <w:pPr>
        <w:pStyle w:val="FirstParagraph"/>
      </w:pPr>
      <w:r>
        <w:t xml:space="preserve">Freight and passenger rail have different owners, different capital</w:t>
      </w:r>
      <w:r>
        <w:t xml:space="preserve"> </w:t>
      </w:r>
      <w:r>
        <w:t xml:space="preserve">processes, and mostly different trade associations — so let’s split the</w:t>
      </w:r>
      <w:r>
        <w:t xml:space="preserve"> </w:t>
      </w:r>
      <w:r>
        <w:t xml:space="preserve">channel the same way the industry already splits itself.</w:t>
      </w:r>
    </w:p>
    <w:p>
      <w:pPr>
        <w:pStyle w:val="SourceCode"/>
      </w:pPr>
      <w:r>
        <w:rPr>
          <w:rStyle w:val="VerbatimChar"/>
        </w:rPr>
        <w:t xml:space="preserve">             FREIGHT AND PASSENGER SPLIT, ON PURPOSE</w:t>
      </w:r>
      <w:r>
        <w:br/>
      </w:r>
      <w:r>
        <w:rPr>
          <w:rStyle w:val="VerbatimChar"/>
        </w:rPr>
        <w:t xml:space="preserve">             CSMEval20-C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Match outreach channel to freight versus passenger/transit ownership</w:t>
      </w:r>
      <w:r>
        <w:t xml:space="preserve"> </w:t>
      </w:r>
      <w:r>
        <w:t xml:space="preserve">structure.</w:t>
      </w:r>
    </w:p>
    <w:p>
      <w:pPr>
        <w:pStyle w:val="BodyText"/>
      </w:pPr>
      <w:r>
        <w:t xml:space="preserve">FREIGHT CHANNEL — ASSOCIATION OF AMERICAN RAILROADS (AAR)</w:t>
      </w:r>
      <w:r>
        <w:t xml:space="preserve"> </w:t>
      </w:r>
      <w:r>
        <w:t xml:space="preserve">Freight rail’s standards and research body; the correct venue for Class I</w:t>
      </w:r>
      <w:r>
        <w:t xml:space="preserve"> </w:t>
      </w:r>
      <w:r>
        <w:t xml:space="preserve">and short-line freight capital-planning audiences.</w:t>
      </w:r>
    </w:p>
    <w:p>
      <w:pPr>
        <w:pStyle w:val="BodyText"/>
      </w:pPr>
      <w:r>
        <w:t xml:space="preserve">PASSENGER/TRANSIT CHANNEL — APTA RAIL CONFERENCE</w:t>
      </w:r>
      <w:r>
        <w:t xml:space="preserve"> </w:t>
      </w:r>
      <w:r>
        <w:t xml:space="preserve">Reaches commuter rail authorities and urban light rail/metro operators in</w:t>
      </w:r>
      <w:r>
        <w:t xml:space="preserve"> </w:t>
      </w:r>
      <w:r>
        <w:t xml:space="preserve">one venue, the same venue referenced for the federal-side outreach in</w:t>
      </w:r>
      <w:r>
        <w:t xml:space="preserve"> </w:t>
      </w:r>
      <w:r>
        <w:t xml:space="preserve">CSMEval07 — worth noting that a single conference presence can serve both</w:t>
      </w:r>
      <w:r>
        <w:t xml:space="preserve"> </w:t>
      </w:r>
      <w:r>
        <w:t xml:space="preserve">this dossier and that one.</w:t>
      </w:r>
    </w:p>
    <w:p>
      <w:pPr>
        <w:pStyle w:val="BodyText"/>
      </w:pPr>
      <w:r>
        <w:t xml:space="preserve">CROSS-BORDER CHANNEL</w:t>
      </w:r>
      <w:r>
        <w:t xml:space="preserve"> </w:t>
      </w:r>
      <w:r>
        <w:t xml:space="preserve">Railway Association of Canada — relevant for North American cross-border</w:t>
      </w:r>
      <w:r>
        <w:t xml:space="preserve"> </w:t>
      </w:r>
      <w:r>
        <w:t xml:space="preserve">operators whose networks span both countries.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Identify whether the target operator is primarily freight or</w:t>
      </w:r>
      <w:r>
        <w:t xml:space="preserve"> </w:t>
      </w:r>
      <w:r>
        <w:t xml:space="preserve">passenger/transit, and lead with AAR or APTA accordingly.</w:t>
      </w:r>
      <w:r>
        <w:t xml:space="preserve"> </w:t>
      </w:r>
      <w:r>
        <w:t xml:space="preserve">2. For operators with mixed freight/passenger exposure (some Class I</w:t>
      </w:r>
      <w:r>
        <w:t xml:space="preserve"> </w:t>
      </w:r>
      <w:r>
        <w:t xml:space="preserve">railroads host both), engage both channels rather than choosing one.</w:t>
      </w:r>
      <w:r>
        <w:t xml:space="preserve"> </w:t>
      </w:r>
      <w:r>
        <w:t xml:space="preserve">3. Layer in Railway Association of Canada engagement for any cross-border</w:t>
      </w:r>
      <w:r>
        <w:t xml:space="preserve"> </w:t>
      </w:r>
      <w:r>
        <w:t xml:space="preserve">operator.</w:t>
      </w:r>
    </w:p>
    <w:p>
      <w:pPr>
        <w:pStyle w:val="BodyText"/>
      </w:pPr>
      <w:r>
        <w:t xml:space="preserve">Two associations, two audiences, one framework that works for both.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CSMEval20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CSMEval20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CSMEval20 Combined Email Body</dc:title>
  <dc:creator/>
  <cp:keywords/>
  <dcterms:created xsi:type="dcterms:W3CDTF">2026-07-03T03:30:41Z</dcterms:created>
  <dcterms:modified xsi:type="dcterms:W3CDTF">2026-07-03T03:30:41Z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