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CSMEval29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Project Aegis-Hydro’s water-system</w:t>
      </w:r>
      <w:r>
        <w:t xml:space="preserve"> </w:t>
      </w:r>
      <w:r>
        <w:t xml:space="preserve">resilience framework from Carrington Storm Motors, addressing pipe/</w:t>
      </w:r>
      <w:r>
        <w:t xml:space="preserve"> </w:t>
      </w:r>
      <w:r>
        <w:t xml:space="preserve">reservoir/pump-station GIC exposure ahead of any mandatory standard for this</w:t>
      </w:r>
      <w:r>
        <w:t xml:space="preserve"> </w:t>
      </w:r>
      <w:r>
        <w:t xml:space="preserve">sector. We’d welcome the chance to present this at AWWA’s ACE conference or</w:t>
      </w:r>
      <w:r>
        <w:t xml:space="preserve"> </w:t>
      </w:r>
      <w:r>
        <w:t xml:space="preserve">directly to your treatment operations team as an early-adopter case study.</w:t>
      </w:r>
    </w:p>
    <w:p>
      <w:pPr>
        <w:pStyle w:val="BodyText"/>
      </w:pPr>
      <w:r>
        <w:t xml:space="preserve">Appreciate the quiet, essential work of making tap water something nobody</w:t>
      </w:r>
      <w:r>
        <w:t xml:space="preserve"> </w:t>
      </w:r>
      <w:r>
        <w:t xml:space="preserve">has to think twice about.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9-compiled-briefing-packet"/>
    <w:p>
      <w:pPr>
        <w:pStyle w:val="Heading1"/>
      </w:pPr>
      <w:r>
        <w:t xml:space="preserve">CSMEval29 — COMPILED BRIEFING PACKET</w:t>
      </w:r>
    </w:p>
    <w:bookmarkStart w:id="10" w:name="Xcf8b5f3bc11cbede6564da8d86dc4eda4fb3086"/>
    <w:p>
      <w:pPr>
        <w:pStyle w:val="Heading2"/>
      </w:pPr>
      <w:r>
        <w:t xml:space="preserve">Water Utilities &amp; Water Infrastructure Operators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(CSMEval29),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A Greenfield Opportunity, Said Without Exaggeration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Grid-Dependent and Independently Exposed, at the Same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AWWA ACE Is Where the First Mover Gets Noticed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Water Infrastructure Division | "Everyone Goes Home. Every Day."</w:t>
      </w:r>
    </w:p>
    <w:p>
      <w:pPr>
        <w:pStyle w:val="FirstParagraph"/>
      </w:pPr>
      <w:r>
        <w:t xml:space="preserve">We use the word</w:t>
      </w:r>
      <w:r>
        <w:t xml:space="preserve"> </w:t>
      </w:r>
      <w:r>
        <w:t xml:space="preserve">“greenfield”</w:t>
      </w:r>
      <w:r>
        <w:t xml:space="preserve"> </w:t>
      </w:r>
      <w:r>
        <w:t xml:space="preserve">carefully in this business, because it usually</w:t>
      </w:r>
      <w:r>
        <w:t xml:space="preserve"> </w:t>
      </w:r>
      <w:r>
        <w:t xml:space="preserve">means someone’s exaggerating how open a market really is. Here, it’s just</w:t>
      </w:r>
      <w:r>
        <w:t xml:space="preserve"> </w:t>
      </w:r>
      <w:r>
        <w:t xml:space="preserve">accurate: there is currently no NERC-style mandatory GMD planning standard</w:t>
      </w:r>
      <w:r>
        <w:t xml:space="preserve"> </w:t>
      </w:r>
      <w:r>
        <w:t xml:space="preserve">for water systems. Nobody’s required to have thought about this yet, which</w:t>
      </w:r>
      <w:r>
        <w:t xml:space="preserve"> </w:t>
      </w:r>
      <w:r>
        <w:t xml:space="preserve">means nobody’s behind — but someone gets to be first.</w:t>
      </w:r>
    </w:p>
    <w:p>
      <w:pPr>
        <w:pStyle w:val="SourceCode"/>
      </w:pPr>
      <w:r>
        <w:rPr>
          <w:rStyle w:val="VerbatimChar"/>
        </w:rPr>
        <w:t xml:space="preserve">             A GREENFIELD OPPORTUNITY, SAID WITHOUT EXAGGERATION</w:t>
      </w:r>
      <w:r>
        <w:br/>
      </w:r>
      <w:r>
        <w:rPr>
          <w:rStyle w:val="VerbatimChar"/>
        </w:rPr>
        <w:t xml:space="preserve">             CSMEval29-A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Project Aegis-Hydro and supporting CSM research relevant to</w:t>
      </w:r>
      <w:r>
        <w:t xml:space="preserve"> </w:t>
      </w:r>
      <w:r>
        <w:t xml:space="preserve">water/wastewater treatment and distribution infrastructure.</w:t>
      </w:r>
    </w:p>
    <w:p>
      <w:pPr>
        <w:pStyle w:val="Compact"/>
        <w:numPr>
          <w:ilvl w:val="0"/>
          <w:numId w:val="1002"/>
        </w:numPr>
      </w:pPr>
      <w:r>
        <w:t xml:space="preserve">PROJECT AEGIS-HYDRO — water system resilience framework addressing</w:t>
      </w:r>
      <w:r>
        <w:t xml:space="preserve"> </w:t>
      </w:r>
      <w:r>
        <w:t xml:space="preserve">pipe/reservoir/pump-station GIC exposure and proposing a dielectric</w:t>
      </w:r>
      <w:r>
        <w:t xml:space="preserve"> </w:t>
      </w:r>
      <w:r>
        <w:t xml:space="preserve">retrofit pathway (CSMProWaterTransport).</w:t>
      </w:r>
    </w:p>
    <w:p>
      <w:pPr>
        <w:pStyle w:val="Compact"/>
        <w:numPr>
          <w:ilvl w:val="0"/>
          <w:numId w:val="1002"/>
        </w:numPr>
      </w:pPr>
      <w:r>
        <w:t xml:space="preserve">CONDUCTIVE-SAFE PIPE DESIGN — non-conductive water-supply piping</w:t>
      </w:r>
      <w:r>
        <w:t xml:space="preserve"> </w:t>
      </w:r>
      <w:r>
        <w:t xml:space="preserve">(CSMFAB012).</w:t>
      </w:r>
    </w:p>
    <w:p>
      <w:pPr>
        <w:pStyle w:val="Compact"/>
        <w:numPr>
          <w:ilvl w:val="0"/>
          <w:numId w:val="1002"/>
        </w:numPr>
      </w:pPr>
      <w:r>
        <w:t xml:space="preserve">INFLATABLE CERAMIC WATER HEATER PRECEDENT — non-electric auxiliary-</w:t>
      </w:r>
      <w:r>
        <w:t xml:space="preserve"> </w:t>
      </w:r>
      <w:r>
        <w:t xml:space="preserve">system precedent relevant to treatment/utility backup systems</w:t>
      </w:r>
      <w:r>
        <w:t xml:space="preserve"> </w:t>
      </w:r>
      <w:r>
        <w:t xml:space="preserve">(CSMFAB06).</w:t>
      </w:r>
    </w:p>
    <w:p>
      <w:pPr>
        <w:pStyle w:val="FirstParagraph"/>
      </w:pPr>
      <w:r>
        <w:t xml:space="preserve">WHY</w:t>
      </w:r>
      <w:r>
        <w:t xml:space="preserve"> </w:t>
      </w:r>
      <w:r>
        <w:t xml:space="preserve">“GREENFIELD”</w:t>
      </w:r>
      <w:r>
        <w:t xml:space="preserve"> </w:t>
      </w:r>
      <w:r>
        <w:t xml:space="preserve">IS ACCURATE HERE SPECIFICALLY</w:t>
      </w:r>
      <w:r>
        <w:t xml:space="preserve"> </w:t>
      </w:r>
      <w:r>
        <w:t xml:space="preserve">Electric utilities operate under mandatory NERC TPL-007/EOP-010 compliance</w:t>
      </w:r>
      <w:r>
        <w:t xml:space="preserve"> </w:t>
      </w:r>
      <w:r>
        <w:t xml:space="preserve">(CSMEval02/10). Water utilities operate under no equivalent GMD standard</w:t>
      </w:r>
      <w:r>
        <w:t xml:space="preserve"> </w:t>
      </w:r>
      <w:r>
        <w:t xml:space="preserve">today. That’s not a criticism of water utilities — GIC research simply</w:t>
      </w:r>
      <w:r>
        <w:t xml:space="preserve"> </w:t>
      </w:r>
      <w:r>
        <w:t xml:space="preserve">hasn’t reached this sector’s standard-setting bodies yet, which is exactly</w:t>
      </w:r>
      <w:r>
        <w:t xml:space="preserve"> </w:t>
      </w:r>
      <w:r>
        <w:t xml:space="preserve">what makes early engagement valuable rather than merely interesting.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being early here has real, durable</w:t>
      </w:r>
      <w:r>
        <w:t xml:space="preserve"> </w:t>
      </w:r>
      <w:r>
        <w:t xml:space="preserve">advantages, not just novelty value.</w:t>
      </w:r>
    </w:p>
    <w:p>
      <w:pPr>
        <w:pStyle w:val="BodyText"/>
      </w:pPr>
      <w:r>
        <w:t xml:space="preserve">Nobody required you to look at this yet. That’s exactly why looking first means something.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Water treatment depends on the grid to run — pumping, process control, and</w:t>
      </w:r>
      <w:r>
        <w:t xml:space="preserve"> </w:t>
      </w:r>
      <w:r>
        <w:t xml:space="preserve">disinfection systems all need continuous power. It’s also, independently,</w:t>
      </w:r>
      <w:r>
        <w:t xml:space="preserve"> </w:t>
      </w:r>
      <w:r>
        <w:t xml:space="preserve">exposed to GIC through its own buried metallic pipe networks and pump-</w:t>
      </w:r>
      <w:r>
        <w:t xml:space="preserve"> </w:t>
      </w:r>
      <w:r>
        <w:t xml:space="preserve">station electrical systems. That’s two exposures layered on top of each</w:t>
      </w:r>
      <w:r>
        <w:t xml:space="preserve"> </w:t>
      </w:r>
      <w:r>
        <w:t xml:space="preserve">other, and most water utilities have formally assessed neither.</w:t>
      </w:r>
    </w:p>
    <w:p>
      <w:pPr>
        <w:pStyle w:val="SourceCode"/>
      </w:pPr>
      <w:r>
        <w:rPr>
          <w:rStyle w:val="VerbatimChar"/>
        </w:rPr>
        <w:t xml:space="preserve">             GRID-DEPENDENT AND INDEPENDENTLY EXPOSED, AT THE SAME TIME</w:t>
      </w:r>
      <w:r>
        <w:br/>
      </w:r>
      <w:r>
        <w:rPr>
          <w:rStyle w:val="VerbatimChar"/>
        </w:rPr>
        <w:t xml:space="preserve">             CSMEval29-B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the dual exposure (grid-dependency plus independent GIC exposure)</w:t>
      </w:r>
      <w:r>
        <w:t xml:space="preserve"> </w:t>
      </w:r>
      <w:r>
        <w:t xml:space="preserve">facing water infrastructure, and why early adoption ahead of any future</w:t>
      </w:r>
      <w:r>
        <w:t xml:space="preserve"> </w:t>
      </w:r>
      <w:r>
        <w:t xml:space="preserve">standard carries real advantage.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Water treatment and distribution is a grid-dependent critical service —</w:t>
      </w:r>
      <w:r>
        <w:t xml:space="preserve"> </w:t>
      </w:r>
      <w:r>
        <w:t xml:space="preserve">pumping, treatment-process control, and disinfection systems all require</w:t>
      </w:r>
      <w:r>
        <w:t xml:space="preserve"> </w:t>
      </w:r>
      <w:r>
        <w:t xml:space="preserve">continuous power.</w:t>
      </w:r>
      <w:r>
        <w:t xml:space="preserve"> </w:t>
      </w:r>
      <w:r>
        <w:t xml:space="preserve">• Independently, buried metallic pipe networks and pump-station electrical</w:t>
      </w:r>
      <w:r>
        <w:t xml:space="preserve"> </w:t>
      </w:r>
      <w:r>
        <w:t xml:space="preserve">systems represent a GIC exposure pathway in their own right, distinct from</w:t>
      </w:r>
      <w:r>
        <w:t xml:space="preserve"> </w:t>
      </w:r>
      <w:r>
        <w:t xml:space="preserve">the grid-dependency risk.</w:t>
      </w:r>
      <w:r>
        <w:t xml:space="preserve"> </w:t>
      </w:r>
      <w:r>
        <w:t xml:space="preserve">• Unlike electric utilities, water utilities are not currently subject to a</w:t>
      </w:r>
      <w:r>
        <w:t xml:space="preserve"> </w:t>
      </w:r>
      <w:r>
        <w:t xml:space="preserve">NERC-style mandatory GMD planning standard — meaning most water systems</w:t>
      </w:r>
      <w:r>
        <w:t xml:space="preserve"> </w:t>
      </w:r>
      <w:r>
        <w:t xml:space="preserve">have never formally assessed this risk at all.</w:t>
      </w:r>
      <w:r>
        <w:t xml:space="preserve"> </w:t>
      </w:r>
      <w:r>
        <w:t xml:space="preserve">• This represents a genuine</w:t>
      </w:r>
      <w:r>
        <w:t xml:space="preserve"> </w:t>
      </w:r>
      <w:r>
        <w:t xml:space="preserve">“greenfield”</w:t>
      </w:r>
      <w:r>
        <w:t xml:space="preserve"> </w:t>
      </w:r>
      <w:r>
        <w:t xml:space="preserve">awareness opportunity rather than a</w:t>
      </w:r>
      <w:r>
        <w:t xml:space="preserve"> </w:t>
      </w:r>
      <w:r>
        <w:t xml:space="preserve">standards-update conversation, unlike most other infrastructure sectors in</w:t>
      </w:r>
      <w:r>
        <w:t xml:space="preserve"> </w:t>
      </w:r>
      <w:r>
        <w:t xml:space="preserve">this outreach series.</w:t>
      </w:r>
    </w:p>
    <w:p>
      <w:pPr>
        <w:pStyle w:val="BodyText"/>
      </w:pPr>
      <w:r>
        <w:t xml:space="preserve">WHY EARLY ADOPTION HAS REAL, DURABLE ADVANTAGE</w:t>
      </w:r>
      <w:r>
        <w:t xml:space="preserve"> </w:t>
      </w:r>
      <w:r>
        <w:t xml:space="preserve">• A utility that adopts the Aegis-Hydro framework now positions itself ahead</w:t>
      </w:r>
      <w:r>
        <w:t xml:space="preserve"> </w:t>
      </w:r>
      <w:r>
        <w:t xml:space="preserve">of any future standard, rather than playing catch-up once one exists — the</w:t>
      </w:r>
      <w:r>
        <w:t xml:space="preserve"> </w:t>
      </w:r>
      <w:r>
        <w:t xml:space="preserve">same first-mover logic that benefited early NERC TPL-007 compliant</w:t>
      </w:r>
      <w:r>
        <w:t xml:space="preserve"> </w:t>
      </w:r>
      <w:r>
        <w:t xml:space="preserve">utilities relative to laggards.</w:t>
      </w:r>
      <w:r>
        <w:t xml:space="preserve"> </w:t>
      </w:r>
      <w:r>
        <w:t xml:space="preserve">• Early engagement also means input into what a future standard might</w:t>
      </w:r>
      <w:r>
        <w:t xml:space="preserve"> </w:t>
      </w:r>
      <w:r>
        <w:t xml:space="preserve">eventually look like, rather than simply reacting to one once written.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AWWA, WEF, AMWA, and EPA’s Water Infrastructure and</w:t>
      </w:r>
      <w:r>
        <w:t xml:space="preserve"> </w:t>
      </w:r>
      <w:r>
        <w:t xml:space="preserve">Cyber Resilience Division as the channels best suited to this early-mover</w:t>
      </w:r>
      <w:r>
        <w:t xml:space="preserve"> </w:t>
      </w:r>
      <w:r>
        <w:t xml:space="preserve">opportunity.</w:t>
      </w:r>
    </w:p>
    <w:p>
      <w:pPr>
        <w:pStyle w:val="BodyText"/>
      </w:pPr>
      <w:r>
        <w:t xml:space="preserve">No standard yet means no laggards yet either — a rare position to be in.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Plan So You Can Act With Confidence"</w:t>
      </w:r>
    </w:p>
    <w:p>
      <w:pPr>
        <w:pStyle w:val="FirstParagraph"/>
      </w:pPr>
      <w:r>
        <w:t xml:space="preserve">Being early only matters if the right audience sees you being early — so</w:t>
      </w:r>
      <w:r>
        <w:t xml:space="preserve"> </w:t>
      </w:r>
      <w:r>
        <w:t xml:space="preserve">let’s make sure the introduction happens somewhere that carries technical</w:t>
      </w:r>
      <w:r>
        <w:t xml:space="preserve"> </w:t>
      </w:r>
      <w:r>
        <w:t xml:space="preserve">weight.</w:t>
      </w:r>
    </w:p>
    <w:p>
      <w:pPr>
        <w:pStyle w:val="SourceCode"/>
      </w:pPr>
      <w:r>
        <w:rPr>
          <w:rStyle w:val="VerbatimChar"/>
        </w:rPr>
        <w:t xml:space="preserve">             AWWA ACE IS WHERE THE FIRST MOVER GETS NOTICED</w:t>
      </w:r>
      <w:r>
        <w:br/>
      </w:r>
      <w:r>
        <w:rPr>
          <w:rStyle w:val="VerbatimChar"/>
        </w:rPr>
        <w:t xml:space="preserve">             CSMEval29-C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channels best suited to introducing the Aegis-Hydro framework</w:t>
      </w:r>
      <w:r>
        <w:t xml:space="preserve"> </w:t>
      </w:r>
      <w:r>
        <w:t xml:space="preserve">to a water utility willing to be an early adopter.</w:t>
      </w:r>
    </w:p>
    <w:p>
      <w:pPr>
        <w:pStyle w:val="BodyText"/>
      </w:pPr>
      <w:r>
        <w:t xml:space="preserve">PRIMARY VENUE — AWWA ACE (AMERICAN WATER WORKS ASSOCIATION ANNUAL CONFERENCE)</w:t>
      </w:r>
      <w:r>
        <w:t xml:space="preserve"> </w:t>
      </w:r>
      <w:r>
        <w:t xml:space="preserve">The primary technical-session venue for this sector; the right place for a</w:t>
      </w:r>
      <w:r>
        <w:t xml:space="preserve"> </w:t>
      </w:r>
      <w:r>
        <w:t xml:space="preserve">first-adopter case study to get technical-community visibility.</w:t>
      </w:r>
    </w:p>
    <w:p>
      <w:pPr>
        <w:pStyle w:val="BodyText"/>
      </w:pPr>
      <w:r>
        <w:t xml:space="preserve">SECONDARY CHANNELS</w:t>
      </w:r>
      <w:r>
        <w:t xml:space="preserve"> </w:t>
      </w:r>
      <w:r>
        <w:t xml:space="preserve">• Water Environment Federation (WEF) — broader water/wastewater technical</w:t>
      </w:r>
      <w:r>
        <w:t xml:space="preserve"> </w:t>
      </w:r>
      <w:r>
        <w:t xml:space="preserve">audience.</w:t>
      </w:r>
      <w:r>
        <w:t xml:space="preserve"> </w:t>
      </w:r>
      <w:r>
        <w:t xml:space="preserve">• Association of Metropolitan Water Agencies (AMWA) — larger metropolitan</w:t>
      </w:r>
      <w:r>
        <w:t xml:space="preserve"> </w:t>
      </w:r>
      <w:r>
        <w:t xml:space="preserve">utility audience specifically, useful given metro utilities’ typically</w:t>
      </w:r>
      <w:r>
        <w:t xml:space="preserve"> </w:t>
      </w:r>
      <w:r>
        <w:t xml:space="preserve">larger capital budgets.</w:t>
      </w:r>
      <w:r>
        <w:t xml:space="preserve"> </w:t>
      </w:r>
      <w:r>
        <w:t xml:space="preserve">• EPA Water Infrastructure and Cyber Resilience Division — engage via EPA’s</w:t>
      </w:r>
      <w:r>
        <w:t xml:space="preserve"> </w:t>
      </w:r>
      <w:r>
        <w:t xml:space="preserve">public stakeholder-engagement channel; relevant given this division’s</w:t>
      </w:r>
      <w:r>
        <w:t xml:space="preserve"> </w:t>
      </w:r>
      <w:r>
        <w:t xml:space="preserve">broader resilience mandate, even though GMD specifically isn’t yet a named</w:t>
      </w:r>
      <w:r>
        <w:t xml:space="preserve"> </w:t>
      </w:r>
      <w:r>
        <w:t xml:space="preserve">focus area.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AWWA ACE technical-session presence (primary venue, first-adopter</w:t>
      </w:r>
      <w:r>
        <w:t xml:space="preserve"> </w:t>
      </w:r>
      <w:r>
        <w:t xml:space="preserve">visibility).</w:t>
      </w:r>
      <w:r>
        <w:t xml:space="preserve"> </w:t>
      </w:r>
      <w:r>
        <w:t xml:space="preserve">2. AMWA outreach in parallel (targeting utilities with the capital capacity</w:t>
      </w:r>
      <w:r>
        <w:t xml:space="preserve"> </w:t>
      </w:r>
      <w:r>
        <w:t xml:space="preserve">to be a credible first adopter).</w:t>
      </w:r>
      <w:r>
        <w:t xml:space="preserve"> </w:t>
      </w:r>
      <w:r>
        <w:t xml:space="preserve">3. WEF and EPA engagement as broader/longer-horizon awareness-building</w:t>
      </w:r>
      <w:r>
        <w:t xml:space="preserve"> </w:t>
      </w:r>
      <w:r>
        <w:t xml:space="preserve">tracks.</w:t>
      </w:r>
    </w:p>
    <w:p>
      <w:pPr>
        <w:pStyle w:val="BodyText"/>
      </w:pPr>
      <w:r>
        <w:t xml:space="preserve">Being first only counts if the room that matters is watching.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CSMEval29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CSMEval29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CSMEval29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