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CSMEval30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extended-outage-scale backup power</w:t>
      </w:r>
      <w:r>
        <w:t xml:space="preserve"> </w:t>
      </w:r>
      <w:r>
        <w:t xml:space="preserve">planning and facility-level EMI/GIC shielding from Carrington Storm Motors,</w:t>
      </w:r>
      <w:r>
        <w:t xml:space="preserve"> </w:t>
      </w:r>
      <w:r>
        <w:t xml:space="preserve">sized against true Carrington-event outage timescales rather than current</w:t>
      </w:r>
      <w:r>
        <w:t xml:space="preserve"> </w:t>
      </w:r>
      <w:r>
        <w:t xml:space="preserve">NFPA 99-driven hours-to-days assumptions, alongside current defibrillation-</w:t>
      </w:r>
      <w:r>
        <w:t xml:space="preserve"> </w:t>
      </w:r>
      <w:r>
        <w:t xml:space="preserve">strategy and diagnostic-vibrometry literature relevant to your clinical</w:t>
      </w:r>
      <w:r>
        <w:t xml:space="preserve"> </w:t>
      </w:r>
      <w:r>
        <w:t xml:space="preserve">teams. We’d welcome a conversation at ASHE’s Annual Conference or directly</w:t>
      </w:r>
      <w:r>
        <w:t xml:space="preserve"> </w:t>
      </w:r>
      <w:r>
        <w:t xml:space="preserve">with your facilities and biomedical engineering departments.</w:t>
      </w:r>
    </w:p>
    <w:p>
      <w:pPr>
        <w:pStyle w:val="BodyText"/>
      </w:pPr>
      <w:r>
        <w:t xml:space="preserve">Thank you for running the one kind of facility where every day the power</w:t>
      </w:r>
      <w:r>
        <w:t xml:space="preserve"> </w:t>
      </w:r>
      <w:r>
        <w:t xml:space="preserve">doesn’t fail is a day nobody has to think about how close it came.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0-compiled-briefing-packet"/>
    <w:p>
      <w:pPr>
        <w:pStyle w:val="Heading1"/>
      </w:pPr>
      <w:r>
        <w:t xml:space="preserve">CSMEval30 — COMPILED BRIEFING PACKET</w:t>
      </w:r>
    </w:p>
    <w:bookmarkStart w:id="10" w:name="Xffa2d2e015fdcdc64993e4ef1e98a527d6f7391"/>
    <w:p>
      <w:pPr>
        <w:pStyle w:val="Heading2"/>
      </w:pPr>
      <w:r>
        <w:t xml:space="preserve">Healthcare Systems &amp; Hospital Facilities Management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(CSMEval30),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Ventilators Don’t Get a Grace Period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NFPA 99 Was Written for a Different Kind of Outage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Facilities and Clinical, Reached Together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Critical Facilities Division | "Everyone Goes Home. Every Day."</w:t>
      </w:r>
    </w:p>
    <w:p>
      <w:pPr>
        <w:pStyle w:val="FirstParagraph"/>
      </w:pPr>
      <w:r>
        <w:t xml:space="preserve">Most facilities on this outreach list lose convenience when the power goes</w:t>
      </w:r>
      <w:r>
        <w:t xml:space="preserve"> </w:t>
      </w:r>
      <w:r>
        <w:t xml:space="preserve">out. Hospitals lose something else entirely — ventilators, dialysis,</w:t>
      </w:r>
      <w:r>
        <w:t xml:space="preserve"> </w:t>
      </w:r>
      <w:r>
        <w:t xml:space="preserve">surgical suites, and cardiac monitoring all convert a power outage into an</w:t>
      </w:r>
      <w:r>
        <w:t xml:space="preserve"> </w:t>
      </w:r>
      <w:r>
        <w:t xml:space="preserve">individual, immediate safety-of-life event. That reality shapes everything</w:t>
      </w:r>
      <w:r>
        <w:t xml:space="preserve"> </w:t>
      </w:r>
      <w:r>
        <w:t xml:space="preserve">in this briefing.</w:t>
      </w:r>
    </w:p>
    <w:p>
      <w:pPr>
        <w:pStyle w:val="SourceCode"/>
      </w:pPr>
      <w:r>
        <w:rPr>
          <w:rStyle w:val="VerbatimChar"/>
        </w:rPr>
        <w:t xml:space="preserve">             VENTILATORS DON'T GET A GRACE PERIOD</w:t>
      </w:r>
      <w:r>
        <w:br/>
      </w:r>
      <w:r>
        <w:rPr>
          <w:rStyle w:val="VerbatimChar"/>
        </w:rPr>
        <w:t xml:space="preserve">             CSMEval30-A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facility-hardening and extended-outage research directly</w:t>
      </w:r>
      <w:r>
        <w:t xml:space="preserve"> </w:t>
      </w:r>
      <w:r>
        <w:t xml:space="preserve">relevant to hospital facilities and biomedical engineering departments.</w:t>
      </w:r>
    </w:p>
    <w:p>
      <w:pPr>
        <w:pStyle w:val="Compact"/>
        <w:numPr>
          <w:ilvl w:val="0"/>
          <w:numId w:val="1002"/>
        </w:numPr>
      </w:pPr>
      <w:r>
        <w:t xml:space="preserve">EXTENDED-OUTAGE-SCALE BACKUP POWER PLANNING — the full non-electric</w:t>
      </w:r>
      <w:r>
        <w:t xml:space="preserve"> </w:t>
      </w:r>
      <w:r>
        <w:t xml:space="preserve">Aegis Home appliance design philosophy, offered as an off-grid auxiliary-</w:t>
      </w:r>
      <w:r>
        <w:t xml:space="preserve"> </w:t>
      </w:r>
      <w:r>
        <w:t xml:space="preserve">systems precedent (CSMFAB02-08), relevant to planning beyond current</w:t>
      </w:r>
      <w:r>
        <w:t xml:space="preserve"> </w:t>
      </w:r>
      <w:r>
        <w:t xml:space="preserve">NFPA 99-driven hours-to-days backup-generator assumptions.</w:t>
      </w:r>
    </w:p>
    <w:p>
      <w:pPr>
        <w:pStyle w:val="Compact"/>
        <w:numPr>
          <w:ilvl w:val="0"/>
          <w:numId w:val="1002"/>
        </w:numPr>
      </w:pPr>
      <w:r>
        <w:t xml:space="preserve">AEGIS-C COMPOSITE SHIELDING PANEL — facility-level EMI/GIC shielding for</w:t>
      </w:r>
      <w:r>
        <w:t xml:space="preserve"> </w:t>
      </w:r>
      <w:r>
        <w:t xml:space="preserve">critical electronics (CSMFAB01).</w:t>
      </w:r>
    </w:p>
    <w:p>
      <w:pPr>
        <w:pStyle w:val="Compact"/>
        <w:numPr>
          <w:ilvl w:val="0"/>
          <w:numId w:val="1002"/>
        </w:numPr>
      </w:pPr>
      <w:r>
        <w:t xml:space="preserve">STAFF OCCUPATIONAL VIBRATION RESEARCH — CSMHuman HAVS/vibration research</w:t>
      </w:r>
      <w:r>
        <w:t xml:space="preserve"> </w:t>
      </w:r>
      <w:r>
        <w:t xml:space="preserve">relevant to facilities/maintenance crew safety.</w:t>
      </w:r>
    </w:p>
    <w:p>
      <w:pPr>
        <w:pStyle w:val="Compact"/>
        <w:numPr>
          <w:ilvl w:val="0"/>
          <w:numId w:val="1002"/>
        </w:numPr>
      </w:pPr>
      <w:r>
        <w:t xml:space="preserve">CURRENT DEFIBRILLATION AND VIBROMETRY LITERATURE — the same DSED/VC</w:t>
      </w:r>
      <w:r>
        <w:t xml:space="preserve"> </w:t>
      </w:r>
      <w:r>
        <w:t xml:space="preserve">defibrillation-strategy and ultrasonic-vibrometry synthesis detailed in</w:t>
      </w:r>
      <w:r>
        <w:t xml:space="preserve"> </w:t>
      </w:r>
      <w:r>
        <w:t xml:space="preserve">the medical-device sector briefing (CSMEval26), directly relevant here to</w:t>
      </w:r>
      <w:r>
        <w:t xml:space="preserve"> </w:t>
      </w:r>
      <w:r>
        <w:t xml:space="preserve">clinical practice rather than device manufacturing.</w:t>
      </w:r>
    </w:p>
    <w:p>
      <w:pPr>
        <w:pStyle w:val="FirstParagraph"/>
      </w:pPr>
      <w:r>
        <w:t xml:space="preserve">WHY THIS BRIEFING SITS AT THE SAME URGENCY TIER AS NUCLEAR AND GRID</w:t>
      </w:r>
      <w:r>
        <w:t xml:space="preserve"> </w:t>
      </w:r>
      <w:r>
        <w:t xml:space="preserve">Direct, individual, real-time safety-of-life stakes place hospital facilities</w:t>
      </w:r>
      <w:r>
        <w:t xml:space="preserve"> </w:t>
      </w:r>
      <w:r>
        <w:t xml:space="preserve">in the same priority tier as nuclear plants (CSMEval06) and the electric grid</w:t>
      </w:r>
      <w:r>
        <w:t xml:space="preserve"> </w:t>
      </w:r>
      <w:r>
        <w:t xml:space="preserve">(CSMEval02/10) — a rare three-way tie in this outreach series.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specific case for why current NFPA 99-driven backup</w:t>
      </w:r>
      <w:r>
        <w:t xml:space="preserve"> </w:t>
      </w:r>
      <w:r>
        <w:t xml:space="preserve">planning doesn’t match true Carrington-event outage timescales.</w:t>
      </w:r>
    </w:p>
    <w:p>
      <w:pPr>
        <w:pStyle w:val="BodyText"/>
      </w:pPr>
      <w:r>
        <w:t xml:space="preserve">Every other sector’s outage is an inconvenience with a deadline. This one doesn’t get a deadline — it needs an answer now.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"Safety Is Not A Metric. It's A Commitment."</w:t>
      </w:r>
    </w:p>
    <w:p>
      <w:pPr>
        <w:pStyle w:val="FirstParagraph"/>
      </w:pPr>
      <w:r>
        <w:t xml:space="preserve">NFPA 99 and Joint Commission emergency-power requirements are genuinely</w:t>
      </w:r>
      <w:r>
        <w:t xml:space="preserve"> </w:t>
      </w:r>
      <w:r>
        <w:t xml:space="preserve">good standards — for the outages they were designed around. They were not</w:t>
      </w:r>
      <w:r>
        <w:t xml:space="preserve"> </w:t>
      </w:r>
      <w:r>
        <w:t xml:space="preserve">written with a twelve-month transformer-replacement scenario in mind,</w:t>
      </w:r>
      <w:r>
        <w:t xml:space="preserve"> </w:t>
      </w:r>
      <w:r>
        <w:t xml:space="preserve">because that scenario wasn’t the design assumption available at the time.</w:t>
      </w:r>
      <w:r>
        <w:t xml:space="preserve"> </w:t>
      </w:r>
      <w:r>
        <w:t xml:space="preserve">That’s not a flaw in the standard. It’s a gap between the standard and a</w:t>
      </w:r>
      <w:r>
        <w:t xml:space="preserve"> </w:t>
      </w:r>
      <w:r>
        <w:t xml:space="preserve">newer piece of information.</w:t>
      </w:r>
    </w:p>
    <w:p>
      <w:pPr>
        <w:pStyle w:val="SourceCode"/>
      </w:pPr>
      <w:r>
        <w:rPr>
          <w:rStyle w:val="VerbatimChar"/>
        </w:rPr>
        <w:t xml:space="preserve">             NFPA 99 WAS WRITTEN FOR A DIFFERENT KIND OF OUTAGE</w:t>
      </w:r>
      <w:r>
        <w:br/>
      </w:r>
      <w:r>
        <w:rPr>
          <w:rStyle w:val="VerbatimChar"/>
        </w:rPr>
        <w:t xml:space="preserve">             CSMEval30-B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the mismatch between current hospital backup-power design</w:t>
      </w:r>
      <w:r>
        <w:t xml:space="preserve"> </w:t>
      </w:r>
      <w:r>
        <w:t xml:space="preserve">assumptions and true Carrington-event outage timescales, and why this</w:t>
      </w:r>
      <w:r>
        <w:t xml:space="preserve"> </w:t>
      </w:r>
      <w:r>
        <w:t xml:space="preserve">sector’s stakes place it at the highest urgency tier in this outreach</w:t>
      </w:r>
      <w:r>
        <w:t xml:space="preserve"> </w:t>
      </w:r>
      <w:r>
        <w:t xml:space="preserve">series.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Ventilators, dialysis, surgical suites, and cardiac monitoring/</w:t>
      </w:r>
      <w:r>
        <w:t xml:space="preserve"> </w:t>
      </w:r>
      <w:r>
        <w:t xml:space="preserve">defibrillation equipment all depend on continuous power — converting a</w:t>
      </w:r>
      <w:r>
        <w:t xml:space="preserve"> </w:t>
      </w:r>
      <w:r>
        <w:t xml:space="preserve">power outage into a direct, individual safety-of-life risk almost</w:t>
      </w:r>
      <w:r>
        <w:t xml:space="preserve"> </w:t>
      </w:r>
      <w:r>
        <w:t xml:space="preserve">immediately, unlike most other facility types.</w:t>
      </w:r>
      <w:r>
        <w:t xml:space="preserve"> </w:t>
      </w:r>
      <w:r>
        <w:t xml:space="preserve">• Current hospital backup-generator design, per Joint Commission/NFPA 99</w:t>
      </w:r>
      <w:r>
        <w:t xml:space="preserve"> </w:t>
      </w:r>
      <w:r>
        <w:t xml:space="preserve">requirements, is generally sized for outages measured in hours to a few</w:t>
      </w:r>
      <w:r>
        <w:t xml:space="preserve"> </w:t>
      </w:r>
      <w:r>
        <w:t xml:space="preserve">days.</w:t>
      </w:r>
      <w:r>
        <w:t xml:space="preserve"> </w:t>
      </w:r>
      <w:r>
        <w:t xml:space="preserve">• A true Carrington event’s grid impact implies extended, transformer-</w:t>
      </w:r>
      <w:r>
        <w:t xml:space="preserve"> </w:t>
      </w:r>
      <w:r>
        <w:t xml:space="preserve">replacement-timescale regional outages (see CSMEval11’s Lloyd’s of London</w:t>
      </w:r>
      <w:r>
        <w:t xml:space="preserve"> </w:t>
      </w:r>
      <w:r>
        <w:t xml:space="preserve">scenario data: transformer replacement lead times of up to 12 months).</w:t>
      </w:r>
      <w:r>
        <w:t xml:space="preserve"> </w:t>
      </w:r>
      <w:r>
        <w:t xml:space="preserve">• This sector directly intersects with active clinical-practice content</w:t>
      </w:r>
      <w:r>
        <w:t xml:space="preserve"> </w:t>
      </w:r>
      <w:r>
        <w:t xml:space="preserve">(defibrillation strategy, diagnostic vibrometry) referenced in the</w:t>
      </w:r>
      <w:r>
        <w:t xml:space="preserve"> </w:t>
      </w:r>
      <w:r>
        <w:t xml:space="preserve">medical-device sector’s own briefing (CSMEval26) — meaning the CSM</w:t>
      </w:r>
      <w:r>
        <w:t xml:space="preserve"> </w:t>
      </w:r>
      <w:r>
        <w:t xml:space="preserve">research base here serves both facilities engineering and clinical</w:t>
      </w:r>
      <w:r>
        <w:t xml:space="preserve"> </w:t>
      </w:r>
      <w:r>
        <w:t xml:space="preserve">practice simultaneously.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 backup-power system sized for</w:t>
      </w:r>
      <w:r>
        <w:t xml:space="preserve"> </w:t>
      </w:r>
      <w:r>
        <w:t xml:space="preserve">“hours to a few days”</w:t>
      </w:r>
      <w:r>
        <w:t xml:space="preserve"> </w:t>
      </w:r>
      <w:r>
        <w:t xml:space="preserve">has no meaningful</w:t>
      </w:r>
      <w:r>
        <w:t xml:space="preserve"> </w:t>
      </w:r>
      <w:r>
        <w:t xml:space="preserve">answer to a months-scale grid event beyond eventual fuel exhaustion —</w:t>
      </w:r>
      <w:r>
        <w:t xml:space="preserve"> </w:t>
      </w:r>
      <w:r>
        <w:t xml:space="preserve">and unlike a data center (CSMEval16), the consequence here is measured in</w:t>
      </w:r>
      <w:r>
        <w:t xml:space="preserve"> </w:t>
      </w:r>
      <w:r>
        <w:t xml:space="preserve">patient outcomes, not service-level agreements.</w:t>
      </w:r>
      <w:r>
        <w:t xml:space="preserve"> </w:t>
      </w:r>
      <w:r>
        <w:t xml:space="preserve">• This is direct, individual, real-time safety-of-life stakes, placing this</w:t>
      </w:r>
      <w:r>
        <w:t xml:space="preserve"> </w:t>
      </w:r>
      <w:r>
        <w:t xml:space="preserve">sector at the same urgency tier as nuclear (CSMEval06) and grid</w:t>
      </w:r>
      <w:r>
        <w:t xml:space="preserve"> </w:t>
      </w:r>
      <w:r>
        <w:t xml:space="preserve">(CSMEval02/10).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ASHE’s annual conference as the primary venue, paired</w:t>
      </w:r>
      <w:r>
        <w:t xml:space="preserve"> </w:t>
      </w:r>
      <w:r>
        <w:t xml:space="preserve">with direct biomedical-engineering department outreach.</w:t>
      </w:r>
    </w:p>
    <w:p>
      <w:pPr>
        <w:pStyle w:val="BodyText"/>
      </w:pPr>
      <w:r>
        <w:t xml:space="preserve">The standard did its job for the outage it knew about. This is about the one it didn’t.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"The Humans Behind the Human Resources"</w:t>
      </w:r>
    </w:p>
    <w:p>
      <w:pPr>
        <w:pStyle w:val="FirstParagraph"/>
      </w:pPr>
      <w:r>
        <w:t xml:space="preserve">This sector needs both its facilities-engineering audience and its clinical</w:t>
      </w:r>
      <w:r>
        <w:t xml:space="preserve"> </w:t>
      </w:r>
      <w:r>
        <w:t xml:space="preserve">audience to hear the same message, ideally without making either group feel</w:t>
      </w:r>
      <w:r>
        <w:t xml:space="preserve"> </w:t>
      </w:r>
      <w:r>
        <w:t xml:space="preserve">like an afterthought to the other.</w:t>
      </w:r>
    </w:p>
    <w:p>
      <w:pPr>
        <w:pStyle w:val="SourceCode"/>
      </w:pPr>
      <w:r>
        <w:rPr>
          <w:rStyle w:val="VerbatimChar"/>
        </w:rPr>
        <w:t xml:space="preserve">             FACILITIES AND CLINICAL, REACHED TOGETHER</w:t>
      </w:r>
      <w:r>
        <w:br/>
      </w:r>
      <w:r>
        <w:rPr>
          <w:rStyle w:val="VerbatimChar"/>
        </w:rPr>
        <w:t xml:space="preserve">             CSMEval30-C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facilities-engineering and clinical channels needed to reach</w:t>
      </w:r>
      <w:r>
        <w:t xml:space="preserve"> </w:t>
      </w:r>
      <w:r>
        <w:t xml:space="preserve">both halves of this sector’s audience.</w:t>
      </w:r>
    </w:p>
    <w:p>
      <w:pPr>
        <w:pStyle w:val="BodyText"/>
      </w:pPr>
      <w:r>
        <w:t xml:space="preserve">PRIMARY VENUE — ASHE ANNUAL CONFERENCE</w:t>
      </w:r>
      <w:r>
        <w:t xml:space="preserve"> </w:t>
      </w:r>
      <w:r>
        <w:t xml:space="preserve">American Society for Health Care Engineering; the primary facilities/</w:t>
      </w:r>
      <w:r>
        <w:t xml:space="preserve"> </w:t>
      </w:r>
      <w:r>
        <w:t xml:space="preserve">NFPA 99/Joint Commission-compliance-focused venue — the right first stop</w:t>
      </w:r>
      <w:r>
        <w:t xml:space="preserve"> </w:t>
      </w:r>
      <w:r>
        <w:t xml:space="preserve">for the extended-outage backup-power case.</w:t>
      </w:r>
    </w:p>
    <w:p>
      <w:pPr>
        <w:pStyle w:val="BodyText"/>
      </w:pPr>
      <w:r>
        <w:t xml:space="preserve">CLINICAL CHANNELS (CROSS-REFERENCE CSMEval26)</w:t>
      </w:r>
      <w:r>
        <w:t xml:space="preserve"> </w:t>
      </w:r>
      <w:r>
        <w:t xml:space="preserve">• American Heart Association (AHA) Scientific Sessions and Heart Rhythm</w:t>
      </w:r>
      <w:r>
        <w:t xml:space="preserve"> </w:t>
      </w:r>
      <w:r>
        <w:t xml:space="preserve">Society (HRS) — for the defibrillation-strategy and clinical-practice</w:t>
      </w:r>
      <w:r>
        <w:t xml:space="preserve"> </w:t>
      </w:r>
      <w:r>
        <w:t xml:space="preserve">audience specifically.</w:t>
      </w:r>
      <w:r>
        <w:t xml:space="preserve"> </w:t>
      </w:r>
      <w:r>
        <w:t xml:space="preserve">• American College of Emergency Physicians (ACEP) — for emergency</w:t>
      </w:r>
      <w:r>
        <w:t xml:space="preserve"> </w:t>
      </w:r>
      <w:r>
        <w:t xml:space="preserve">department clinical leadership.</w:t>
      </w:r>
    </w:p>
    <w:p>
      <w:pPr>
        <w:pStyle w:val="BodyText"/>
      </w:pPr>
      <w:r>
        <w:t xml:space="preserve">REGULATORY/STANDARDS CHANNELS</w:t>
      </w:r>
      <w:r>
        <w:t xml:space="preserve"> </w:t>
      </w:r>
      <w:r>
        <w:t xml:space="preserve">• Joint Commission — accreditation standards relevant to emergency power.</w:t>
      </w:r>
      <w:r>
        <w:t xml:space="preserve"> </w:t>
      </w:r>
      <w:r>
        <w:t xml:space="preserve">• NFPA 99 Health Care Facilities Code committee — the correct venue for any</w:t>
      </w:r>
      <w:r>
        <w:t xml:space="preserve"> </w:t>
      </w:r>
      <w:r>
        <w:t xml:space="preserve">proposal touching the backup-power standard itself.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ASHE Annual Conference (facilities engineering, primary venue).</w:t>
      </w:r>
      <w:r>
        <w:t xml:space="preserve"> </w:t>
      </w:r>
      <w:r>
        <w:t xml:space="preserve">2. Direct biomedical-engineering department outreach at individual health</w:t>
      </w:r>
      <w:r>
        <w:t xml:space="preserve"> </w:t>
      </w:r>
      <w:r>
        <w:t xml:space="preserve">systems, in parallel.</w:t>
      </w:r>
      <w:r>
        <w:t xml:space="preserve"> </w:t>
      </w:r>
      <w:r>
        <w:t xml:space="preserve">3. AHA/HRS/ACEP engagement for the clinical half of the audience, following</w:t>
      </w:r>
      <w:r>
        <w:t xml:space="preserve"> </w:t>
      </w:r>
      <w:r>
        <w:t xml:space="preserve">the same pattern established in CSMEval26.</w:t>
      </w:r>
    </w:p>
    <w:p>
      <w:pPr>
        <w:pStyle w:val="BodyText"/>
      </w:pPr>
      <w:r>
        <w:t xml:space="preserve">Facilities keeps the lights on. Clinical keeps the patient stable. Both need the same briefing.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CSMEval30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CSMEval30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CSMEval30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