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CSMEval32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the Aegis Home non-electric appliance and</w:t>
      </w:r>
      <w:r>
        <w:t xml:space="preserve"> </w:t>
      </w:r>
      <w:r>
        <w:t xml:space="preserve">building-materials line from Carrington Storm Motors, along with a</w:t>
      </w:r>
      <w:r>
        <w:t xml:space="preserve"> </w:t>
      </w:r>
      <w:r>
        <w:t xml:space="preserve">household-level passive GIC/EMF monitor and personal evacuation/mobility</w:t>
      </w:r>
      <w:r>
        <w:t xml:space="preserve"> </w:t>
      </w:r>
      <w:r>
        <w:t xml:space="preserve">hardware. We’d love to be featured on your platform, at your next</w:t>
      </w:r>
      <w:r>
        <w:t xml:space="preserve"> </w:t>
      </w:r>
      <w:r>
        <w:t xml:space="preserve">preparedness expo booth, or as a guest topic — whatever format fits best.</w:t>
      </w:r>
    </w:p>
    <w:p>
      <w:pPr>
        <w:pStyle w:val="BodyText"/>
      </w:pPr>
      <w:r>
        <w:t xml:space="preserve">Genuinely appreciate the work of showing people that self-sufficiency is</w:t>
      </w:r>
      <w:r>
        <w:t xml:space="preserve"> </w:t>
      </w:r>
      <w:r>
        <w:t xml:space="preserve">achievable, not just aspirational.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2-compiled-briefing-packet"/>
    <w:p>
      <w:pPr>
        <w:pStyle w:val="Heading1"/>
      </w:pPr>
      <w:r>
        <w:t xml:space="preserve">CSMEval32 — COMPILED BRIEFING PACKET</w:t>
      </w:r>
    </w:p>
    <w:bookmarkStart w:id="10" w:name="X26827950ec1671176f738111a7e95b0a19b2ae0"/>
    <w:p>
      <w:pPr>
        <w:pStyle w:val="Heading2"/>
      </w:pPr>
      <w:r>
        <w:t xml:space="preserve">Disaster-Preparedness, Survivalist &amp; Off-Grid Living Community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community (CSMEval32),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We Didn’t Have to Invent Your Values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Distribution That Doesn’t Need a News Cycle to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Expos, Editors, and Ready.gov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Consumer Products Division | "Prepared Is the Best Possible Position"</w:t>
      </w:r>
    </w:p>
    <w:p>
      <w:pPr>
        <w:pStyle w:val="FirstParagraph"/>
      </w:pPr>
      <w:r>
        <w:t xml:space="preserve">Most of this outreach series spends real effort building a values case</w:t>
      </w:r>
      <w:r>
        <w:t xml:space="preserve"> </w:t>
      </w:r>
      <w:r>
        <w:t xml:space="preserve">before getting to the product. Not here. Independence from the grid,</w:t>
      </w:r>
      <w:r>
        <w:t xml:space="preserve"> </w:t>
      </w:r>
      <w:r>
        <w:t xml:space="preserve">non-electric appliances, and self-sufficient building systems aren’t values</w:t>
      </w:r>
      <w:r>
        <w:t xml:space="preserve"> </w:t>
      </w:r>
      <w:r>
        <w:t xml:space="preserve">we need to introduce — they’re the ones this community already lives by.</w:t>
      </w:r>
      <w:r>
        <w:t xml:space="preserve"> </w:t>
      </w:r>
      <w:r>
        <w:t xml:space="preserve">We just built the products around a specific, well-documented reason those</w:t>
      </w:r>
      <w:r>
        <w:t xml:space="preserve"> </w:t>
      </w:r>
      <w:r>
        <w:t xml:space="preserve">values matter.</w:t>
      </w:r>
    </w:p>
    <w:p>
      <w:pPr>
        <w:pStyle w:val="SourceCode"/>
      </w:pPr>
      <w:r>
        <w:rPr>
          <w:rStyle w:val="VerbatimChar"/>
        </w:rPr>
        <w:t xml:space="preserve">             WE DIDN'T HAVE TO INVENT YOUR VALUES</w:t>
      </w:r>
      <w:r>
        <w:br/>
      </w:r>
      <w:r>
        <w:rPr>
          <w:rStyle w:val="VerbatimChar"/>
        </w:rPr>
        <w:t xml:space="preserve">             CSMEval32-A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CSM Aegis Home product philosophy as a near-one-to-one match</w:t>
      </w:r>
      <w:r>
        <w:t xml:space="preserve"> </w:t>
      </w:r>
      <w:r>
        <w:t xml:space="preserve">for existing off-grid living values and purchasing behavior.</w:t>
      </w:r>
    </w:p>
    <w:p>
      <w:pPr>
        <w:pStyle w:val="Compact"/>
        <w:numPr>
          <w:ilvl w:val="0"/>
          <w:numId w:val="1002"/>
        </w:numPr>
      </w:pPr>
      <w:r>
        <w:t xml:space="preserve">“STELLAR-CHILL”</w:t>
      </w:r>
      <w:r>
        <w:t xml:space="preserve"> </w:t>
      </w:r>
      <w:r>
        <w:t xml:space="preserve">ELECTROCALORIC REFRIGERATOR — non-electric refrigeration</w:t>
      </w:r>
      <w:r>
        <w:t xml:space="preserve"> </w:t>
      </w:r>
      <w:r>
        <w:t xml:space="preserve">(CSMFAB04).</w:t>
      </w:r>
    </w:p>
    <w:p>
      <w:pPr>
        <w:pStyle w:val="Compact"/>
        <w:numPr>
          <w:ilvl w:val="0"/>
          <w:numId w:val="1002"/>
        </w:numPr>
      </w:pPr>
      <w:r>
        <w:t xml:space="preserve">“STONE-BAKE”</w:t>
      </w:r>
      <w:r>
        <w:t xml:space="preserve"> </w:t>
      </w:r>
      <w:r>
        <w:t xml:space="preserve">OVEN /</w:t>
      </w:r>
      <w:r>
        <w:t xml:space="preserve"> </w:t>
      </w:r>
      <w:r>
        <w:t xml:space="preserve">“ANCIENT HEARTH”</w:t>
      </w:r>
      <w:r>
        <w:t xml:space="preserve"> </w:t>
      </w:r>
      <w:r>
        <w:t xml:space="preserve">CERAMIC COOKTOP — non-electric</w:t>
      </w:r>
      <w:r>
        <w:t xml:space="preserve"> </w:t>
      </w:r>
      <w:r>
        <w:t xml:space="preserve">cooking (CSMFAB07, CSMFAB02).</w:t>
      </w:r>
    </w:p>
    <w:p>
      <w:pPr>
        <w:pStyle w:val="Compact"/>
        <w:numPr>
          <w:ilvl w:val="0"/>
          <w:numId w:val="1002"/>
        </w:numPr>
      </w:pPr>
      <w:r>
        <w:t xml:space="preserve">INFLATABLE CERAMIC WATER HEATER — non-electric water heating (CSMFAB06).</w:t>
      </w:r>
    </w:p>
    <w:p>
      <w:pPr>
        <w:pStyle w:val="Compact"/>
        <w:numPr>
          <w:ilvl w:val="0"/>
          <w:numId w:val="1002"/>
        </w:numPr>
      </w:pPr>
      <w:r>
        <w:t xml:space="preserve">FULL AEGIS HOME BUILDING SUITE — non-conductive rebar, piping, wiring,</w:t>
      </w:r>
      <w:r>
        <w:t xml:space="preserve"> </w:t>
      </w:r>
      <w:r>
        <w:t xml:space="preserve">and tools for off-grid building projects (CSMFAB09-020).</w:t>
      </w:r>
    </w:p>
    <w:p>
      <w:pPr>
        <w:pStyle w:val="Compact"/>
        <w:numPr>
          <w:ilvl w:val="0"/>
          <w:numId w:val="1002"/>
        </w:numPr>
      </w:pPr>
      <w:r>
        <w:t xml:space="preserve">“CHROMATIC FIELD MONITOR”</w:t>
      </w:r>
      <w:r>
        <w:t xml:space="preserve"> </w:t>
      </w:r>
      <w:r>
        <w:t xml:space="preserve">— household-level passive GIC/EMF early</w:t>
      </w:r>
      <w:r>
        <w:t xml:space="preserve"> </w:t>
      </w:r>
      <w:r>
        <w:t xml:space="preserve">warning (CSMFAB021).</w:t>
      </w:r>
    </w:p>
    <w:p>
      <w:pPr>
        <w:pStyle w:val="Compact"/>
        <w:numPr>
          <w:ilvl w:val="0"/>
          <w:numId w:val="1002"/>
        </w:numPr>
      </w:pPr>
      <w:r>
        <w:t xml:space="preserve">AEGIS-ASCENSION BACKPACK / GROUNDING-SOLE FOOTWEAR — personal</w:t>
      </w:r>
      <w:r>
        <w:t xml:space="preserve"> </w:t>
      </w:r>
      <w:r>
        <w:t xml:space="preserve">evacuation and mobility hardware (CSMFAB050, 024).</w:t>
      </w:r>
    </w:p>
    <w:p>
      <w:pPr>
        <w:pStyle w:val="FirstParagraph"/>
      </w:pPr>
      <w:r>
        <w:t xml:space="preserve">WHY WE’RE NOT LEADING WITH THE CARRINGTON EVENT</w:t>
      </w:r>
      <w:r>
        <w:t xml:space="preserve"> </w:t>
      </w:r>
      <w:r>
        <w:t xml:space="preserve">For once, the hazard framing is secondary. This community already prioritizes</w:t>
      </w:r>
      <w:r>
        <w:t xml:space="preserve"> </w:t>
      </w:r>
      <w:r>
        <w:t xml:space="preserve">independence and self-sufficiency for its own sake — Carrington-class GIC is</w:t>
      </w:r>
      <w:r>
        <w:t xml:space="preserve"> </w:t>
      </w:r>
      <w:r>
        <w:t xml:space="preserve">simply a specific, well-documented reason those existing choices pay off,</w:t>
      </w:r>
      <w:r>
        <w:t xml:space="preserve"> </w:t>
      </w:r>
      <w:r>
        <w:t xml:space="preserve">not the reason to adopt them in the first place.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community’s content-consumption</w:t>
      </w:r>
      <w:r>
        <w:t xml:space="preserve"> </w:t>
      </w:r>
      <w:r>
        <w:t xml:space="preserve">habits make it an unusually efficient distribution channel, independent of</w:t>
      </w:r>
      <w:r>
        <w:t xml:space="preserve"> </w:t>
      </w:r>
      <w:r>
        <w:t xml:space="preserve">any single news event.</w:t>
      </w:r>
    </w:p>
    <w:p>
      <w:pPr>
        <w:pStyle w:val="BodyText"/>
      </w:pPr>
      <w:r>
        <w:t xml:space="preserve">You already built the life this hazard rewards. We just labeled the reason.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"Prepared Is the Best Possible Position"</w:t>
      </w:r>
    </w:p>
    <w:p>
      <w:pPr>
        <w:pStyle w:val="FirstParagraph"/>
      </w:pPr>
      <w:r>
        <w:t xml:space="preserve">Most sectors in this outreach series need a storm, a review window, or a</w:t>
      </w:r>
      <w:r>
        <w:t xml:space="preserve"> </w:t>
      </w:r>
      <w:r>
        <w:t xml:space="preserve">conference date to create a moment of attention. This community’s own</w:t>
      </w:r>
      <w:r>
        <w:t xml:space="preserve"> </w:t>
      </w:r>
      <w:r>
        <w:t xml:space="preserve">content habits — forums, YouTube channels, podcasts — create that moment</w:t>
      </w:r>
      <w:r>
        <w:t xml:space="preserve"> </w:t>
      </w:r>
      <w:r>
        <w:t xml:space="preserve">continuously, on their own schedule, which changes the whole distribution</w:t>
      </w:r>
      <w:r>
        <w:t xml:space="preserve"> </w:t>
      </w:r>
      <w:r>
        <w:t xml:space="preserve">strategy.</w:t>
      </w:r>
    </w:p>
    <w:p>
      <w:pPr>
        <w:pStyle w:val="SourceCode"/>
      </w:pPr>
      <w:r>
        <w:rPr>
          <w:rStyle w:val="VerbatimChar"/>
        </w:rPr>
        <w:t xml:space="preserve">             DISTRIBUTION THAT DOESN'T NEED A NEWS CYCLE TO WORK</w:t>
      </w:r>
      <w:r>
        <w:br/>
      </w:r>
      <w:r>
        <w:rPr>
          <w:rStyle w:val="VerbatimChar"/>
        </w:rPr>
        <w:t xml:space="preserve">             CSMEval32-B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community’s content-consumption habits make it an</w:t>
      </w:r>
      <w:r>
        <w:t xml:space="preserve"> </w:t>
      </w:r>
      <w:r>
        <w:t xml:space="preserve">unusually efficient, continuous distribution channel rather than an</w:t>
      </w:r>
      <w:r>
        <w:t xml:space="preserve"> </w:t>
      </w:r>
      <w:r>
        <w:t xml:space="preserve">event-driven one.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This community is the direct consumer-market analog of every</w:t>
      </w:r>
      <w:r>
        <w:t xml:space="preserve"> </w:t>
      </w:r>
      <w:r>
        <w:t xml:space="preserve">institutional sector in this outreach series, combined into a single</w:t>
      </w:r>
      <w:r>
        <w:t xml:space="preserve"> </w:t>
      </w:r>
      <w:r>
        <w:t xml:space="preserve">household — grid independence, water/power self-sufficiency, and reduced</w:t>
      </w:r>
      <w:r>
        <w:t xml:space="preserve"> </w:t>
      </w:r>
      <w:r>
        <w:t xml:space="preserve">GPS dependency all show up here as existing purchasing behavior.</w:t>
      </w:r>
      <w:r>
        <w:t xml:space="preserve"> </w:t>
      </w:r>
      <w:r>
        <w:t xml:space="preserve">• Off-grid living publications, forums, and YouTube/podcast creator</w:t>
      </w:r>
      <w:r>
        <w:t xml:space="preserve"> </w:t>
      </w:r>
      <w:r>
        <w:t xml:space="preserve">networks are the dominant modern distribution channel for this</w:t>
      </w:r>
      <w:r>
        <w:t xml:space="preserve"> </w:t>
      </w:r>
      <w:r>
        <w:t xml:space="preserve">community — content flows continuously, not around a single scheduled</w:t>
      </w:r>
      <w:r>
        <w:t xml:space="preserve"> </w:t>
      </w:r>
      <w:r>
        <w:t xml:space="preserve">event the way a trade conference does.</w:t>
      </w:r>
      <w:r>
        <w:t xml:space="preserve"> </w:t>
      </w:r>
      <w:r>
        <w:t xml:space="preserve">• Interest spikes predictably after any publicized grid-outage or</w:t>
      </w:r>
      <w:r>
        <w:t xml:space="preserve"> </w:t>
      </w:r>
      <w:r>
        <w:t xml:space="preserve">solar-storm news cycle — a bonus amplifier on top of the continuous</w:t>
      </w:r>
      <w:r>
        <w:t xml:space="preserve"> </w:t>
      </w:r>
      <w:r>
        <w:t xml:space="preserve">baseline distribution, not a requirement for it.</w:t>
      </w:r>
      <w:r>
        <w:t xml:space="preserve"> </w:t>
      </w:r>
      <w:r>
        <w:t xml:space="preserve">• Faith-based and community-organization disaster-preparedness ministries</w:t>
      </w:r>
      <w:r>
        <w:t xml:space="preserve"> </w:t>
      </w:r>
      <w:r>
        <w:t xml:space="preserve">represent an additional, often-overlooked distribution layer with its own</w:t>
      </w:r>
      <w:r>
        <w:t xml:space="preserve"> </w:t>
      </w:r>
      <w:r>
        <w:t xml:space="preserve">independent gathering and communication structure.</w:t>
      </w:r>
    </w:p>
    <w:p>
      <w:pPr>
        <w:pStyle w:val="BodyText"/>
      </w:pPr>
      <w:r>
        <w:t xml:space="preserve">WHY THIS CHANGES THE OUTREACH APPROACH</w:t>
      </w:r>
      <w:r>
        <w:t xml:space="preserve"> </w:t>
      </w:r>
      <w:r>
        <w:t xml:space="preserve">Most of this series is built around timing a pitch to a specific moment.</w:t>
      </w:r>
      <w:r>
        <w:t xml:space="preserve"> </w:t>
      </w:r>
      <w:r>
        <w:t xml:space="preserve">This community rewards an ongoing content-creator relationship more than a</w:t>
      </w:r>
      <w:r>
        <w:t xml:space="preserve"> </w:t>
      </w:r>
      <w:r>
        <w:t xml:space="preserve">single well-timed pitch — worth treating as a different kind of</w:t>
      </w:r>
      <w:r>
        <w:t xml:space="preserve"> </w:t>
      </w:r>
      <w:r>
        <w:t xml:space="preserve">relationship from the start.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preparedness expos, Ready.gov cross-referencing, and</w:t>
      </w:r>
      <w:r>
        <w:t xml:space="preserve"> </w:t>
      </w:r>
      <w:r>
        <w:t xml:space="preserve">content-creator outreach as the three channels best matched to this</w:t>
      </w:r>
      <w:r>
        <w:t xml:space="preserve"> </w:t>
      </w:r>
      <w:r>
        <w:t xml:space="preserve">distribution pattern.</w:t>
      </w:r>
    </w:p>
    <w:p>
      <w:pPr>
        <w:pStyle w:val="BodyText"/>
      </w:pPr>
      <w:r>
        <w:t xml:space="preserve">No news cycle required. This audience is already paying attention, every day.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Plan So You Can Act With Confidence"</w:t>
      </w:r>
    </w:p>
    <w:p>
      <w:pPr>
        <w:pStyle w:val="FirstParagraph"/>
      </w:pPr>
      <w:r>
        <w:t xml:space="preserve">Three different kinds of doors here — a physical expo circuit, a content-</w:t>
      </w:r>
      <w:r>
        <w:t xml:space="preserve"> </w:t>
      </w:r>
      <w:r>
        <w:t xml:space="preserve">creator relationship, and a credibility anchor borrowed from an existing</w:t>
      </w:r>
      <w:r>
        <w:t xml:space="preserve"> </w:t>
      </w:r>
      <w:r>
        <w:t xml:space="preserve">federal program. Worth using all three.</w:t>
      </w:r>
    </w:p>
    <w:p>
      <w:pPr>
        <w:pStyle w:val="SourceCode"/>
      </w:pPr>
      <w:r>
        <w:rPr>
          <w:rStyle w:val="VerbatimChar"/>
        </w:rPr>
        <w:t xml:space="preserve">             EXPOS, EDITORS, AND READY.GOV</w:t>
      </w:r>
      <w:r>
        <w:br/>
      </w:r>
      <w:r>
        <w:rPr>
          <w:rStyle w:val="VerbatimChar"/>
        </w:rPr>
        <w:t xml:space="preserve">             CSMEval32-C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expo, publication, and credibility-anchor channels best suited</w:t>
      </w:r>
      <w:r>
        <w:t xml:space="preserve"> </w:t>
      </w:r>
      <w:r>
        <w:t xml:space="preserve">to reaching the disaster-preparedness and off-grid living community.</w:t>
      </w:r>
    </w:p>
    <w:p>
      <w:pPr>
        <w:pStyle w:val="BodyText"/>
      </w:pPr>
      <w:r>
        <w:t xml:space="preserve">PHYSICAL CHANNEL — PREPAREDNESS EXPOS AND HOMESTEADING FAIRS</w:t>
      </w:r>
      <w:r>
        <w:t xml:space="preserve"> </w:t>
      </w:r>
      <w:r>
        <w:t xml:space="preserve">A regional circuit of events; engage via each event’s public exhibitor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CONTENT-CREATOR CHANNEL — OFF-GRID PUBLICATIONS AND YOUTUBE/PODCAST NETWORKS</w:t>
      </w:r>
      <w:r>
        <w:t xml:space="preserve"> </w:t>
      </w:r>
      <w:r>
        <w:t xml:space="preserve">The dominant modern distribution channel for this community; engage</w:t>
      </w:r>
      <w:r>
        <w:t xml:space="preserve"> </w:t>
      </w:r>
      <w:r>
        <w:t xml:space="preserve">individual publications and creators directly, treating this as an ongoing</w:t>
      </w:r>
      <w:r>
        <w:t xml:space="preserve"> </w:t>
      </w:r>
      <w:r>
        <w:t xml:space="preserve">relationship rather than a single guest-appearance pitch.</w:t>
      </w:r>
    </w:p>
    <w:p>
      <w:pPr>
        <w:pStyle w:val="BodyText"/>
      </w:pPr>
      <w:r>
        <w:t xml:space="preserve">CREDIBILITY-ANCHOR CHANNEL — FEMA’S READY.GOV</w:t>
      </w:r>
      <w:r>
        <w:t xml:space="preserve"> </w:t>
      </w:r>
      <w:r>
        <w:t xml:space="preserve">Not a direct outreach target, but a useful cross-reference anchor —</w:t>
      </w:r>
      <w:r>
        <w:t xml:space="preserve"> </w:t>
      </w:r>
      <w:r>
        <w:t xml:space="preserve">positioning CSM research as complementary to, not competing with, an</w:t>
      </w:r>
      <w:r>
        <w:t xml:space="preserve"> </w:t>
      </w:r>
      <w:r>
        <w:t xml:space="preserve">established federal public-education program lends credibility with an</w:t>
      </w:r>
      <w:r>
        <w:t xml:space="preserve"> </w:t>
      </w:r>
      <w:r>
        <w:t xml:space="preserve">audience that can be skeptical of purely commercial preparedness messaging.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Content-creator outreach first (fastest, most continuous channel, lowest</w:t>
      </w:r>
      <w:r>
        <w:t xml:space="preserve"> </w:t>
      </w:r>
      <w:r>
        <w:t xml:space="preserve">cost per contact).</w:t>
      </w:r>
      <w:r>
        <w:t xml:space="preserve"> </w:t>
      </w:r>
      <w:r>
        <w:t xml:space="preserve">2. Regional expo circuit in parallel (physical-presence credibility).</w:t>
      </w:r>
      <w:r>
        <w:t xml:space="preserve"> </w:t>
      </w:r>
      <w:r>
        <w:t xml:space="preserve">3. Ready.gov cross-referencing woven into both of the above, not pursued as</w:t>
      </w:r>
      <w:r>
        <w:t xml:space="preserve"> </w:t>
      </w:r>
      <w:r>
        <w:t xml:space="preserve">its own separate outreach track.</w:t>
      </w:r>
    </w:p>
    <w:p>
      <w:pPr>
        <w:pStyle w:val="BodyText"/>
      </w:pPr>
      <w:r>
        <w:t xml:space="preserve">Three doors, none of them requiring a single big moment to walk through.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CSMEval32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CSMEval32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CSMEval32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