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Planning &amp; Management: Zirex Digital Marketing Agency</w:t>
      </w:r>
    </w:p>
    <w:p/>
    <w:p>
      <w:pPr>
        <w:pStyle w:val="Heading1"/>
      </w:pPr>
      <w:r>
        <w:t>1. Project Proposal</w:t>
      </w:r>
    </w:p>
    <w:p>
      <w:pPr>
        <w:pStyle w:val="Heading2"/>
      </w:pPr>
      <w:r>
        <w:t>Overview:</w:t>
      </w:r>
    </w:p>
    <w:p>
      <w:r>
        <w:t>Zirex is a digital marketing agency focused on the medical and health sectors in Egypt and the Gulf.</w:t>
      </w:r>
    </w:p>
    <w:p>
      <w:pPr>
        <w:pStyle w:val="Heading2"/>
      </w:pPr>
      <w:r>
        <w:t>Objectives:</w:t>
      </w:r>
    </w:p>
    <w:p>
      <w:r>
        <w:t>The primary 90-day goal is to launch a regular digital presence, test the service offering, document real business models, and attract inquiries from at least three potential clients.</w:t>
      </w:r>
    </w:p>
    <w:p>
      <w:pPr>
        <w:pStyle w:val="Heading2"/>
      </w:pPr>
      <w:r>
        <w:t>Scope:</w:t>
      </w:r>
    </w:p>
    <w:p>
      <w:r>
        <w:t>Services target doctors, clinics (prioritizing gynecology and veterinary clinics), pharmacies, and medical centers. The scope of deliverable services includes market analysis, medical marketing strategy, social media management, copywriting, medical designs, video/montage, and paid ads management.</w:t>
      </w:r>
    </w:p>
    <w:p/>
    <w:p>
      <w:pPr>
        <w:pStyle w:val="Heading1"/>
      </w:pPr>
      <w:r>
        <w:t>2. Project Plan</w:t>
      </w:r>
    </w:p>
    <w:p>
      <w:pPr>
        <w:pStyle w:val="Heading2"/>
      </w:pPr>
      <w:r>
        <w:t>Timeline &amp; Milestones:</w:t>
      </w:r>
    </w:p>
    <w:p>
      <w:pPr>
        <w:pStyle w:val="ListBullet"/>
      </w:pPr>
      <w:r>
        <w:rPr>
          <w:b/>
        </w:rPr>
        <w:t xml:space="preserve">Month 1 (Days 1-30): </w:t>
      </w:r>
      <w:r>
        <w:t>Establish digital presence and operating systems. Deliverables include defining services/roles (Week 1), preparing 3 case studies and design templates (Week 2), publishing introductory content (Week 3), and personal networking (Week 4).</w:t>
      </w:r>
    </w:p>
    <w:p>
      <w:pPr>
        <w:pStyle w:val="ListBullet"/>
      </w:pPr>
      <w:r>
        <w:rPr>
          <w:b/>
        </w:rPr>
        <w:t xml:space="preserve">Month 2 (Days 31-60): </w:t>
      </w:r>
      <w:r>
        <w:t>Test messages and commercial offers via regular publishing and discovery calls.</w:t>
      </w:r>
    </w:p>
    <w:p>
      <w:pPr>
        <w:pStyle w:val="ListBullet"/>
      </w:pPr>
      <w:r>
        <w:rPr>
          <w:b/>
        </w:rPr>
        <w:t xml:space="preserve">Month 3 (Days 61-90): </w:t>
      </w:r>
      <w:r>
        <w:t>Generate business opportunities and evaluate channels, targeting at least 3 serious inquiries.</w:t>
      </w:r>
    </w:p>
    <w:p>
      <w:pPr>
        <w:pStyle w:val="Heading2"/>
      </w:pPr>
      <w:r>
        <w:t>Resource Allocation:</w:t>
      </w:r>
    </w:p>
    <w:p>
      <w:r>
        <w:t>The team consists of five members with limited availability of 5–10 hours per week each. The initial marketing and operational budget is near zero, relying heavily on organic content and existing relationships.</w:t>
      </w:r>
    </w:p>
    <w:p/>
    <w:p>
      <w:pPr>
        <w:pStyle w:val="Heading1"/>
      </w:pPr>
      <w:r>
        <w:t>3. Task Assignment &amp; Roles</w:t>
      </w:r>
    </w:p>
    <w:tbl>
      <w:tblPr>
        <w:tblStyle w:val="TableGrid"/>
        <w:tblW w:type="auto" w:w="0"/>
        <w:tblLook w:firstColumn="1" w:firstRow="1" w:lastColumn="0" w:lastRow="0" w:noHBand="0" w:noVBand="1" w:val="04A0"/>
      </w:tblPr>
      <w:tblGrid>
        <w:gridCol w:w="4320"/>
        <w:gridCol w:w="4320"/>
      </w:tblGrid>
      <w:tr>
        <w:tc>
          <w:tcPr>
            <w:tcW w:type="dxa" w:w="4320"/>
          </w:tcPr>
          <w:p>
            <w:r>
              <w:rPr>
                <w:b/>
              </w:rPr>
              <w:t>Team Member</w:t>
            </w:r>
          </w:p>
        </w:tc>
        <w:tc>
          <w:tcPr>
            <w:tcW w:type="dxa" w:w="4320"/>
          </w:tcPr>
          <w:p>
            <w:r>
              <w:rPr>
                <w:b/>
              </w:rPr>
              <w:t>Roles &amp; Responsibilities</w:t>
            </w:r>
          </w:p>
        </w:tc>
      </w:tr>
      <w:tr>
        <w:tc>
          <w:tcPr>
            <w:tcW w:type="dxa" w:w="4320"/>
          </w:tcPr>
          <w:p>
            <w:r>
              <w:t>Asmaa Essam El-Din Samih</w:t>
            </w:r>
          </w:p>
        </w:tc>
        <w:tc>
          <w:tcPr>
            <w:tcW w:type="dxa" w:w="4320"/>
          </w:tcPr>
          <w:p>
            <w:r>
              <w:t>Strategy, video montage, and paid ads management</w:t>
            </w:r>
          </w:p>
        </w:tc>
      </w:tr>
      <w:tr>
        <w:tc>
          <w:tcPr>
            <w:tcW w:type="dxa" w:w="4320"/>
          </w:tcPr>
          <w:p>
            <w:r>
              <w:t>Heba Ashour</w:t>
            </w:r>
          </w:p>
        </w:tc>
        <w:tc>
          <w:tcPr>
            <w:tcW w:type="dxa" w:w="4320"/>
          </w:tcPr>
          <w:p>
            <w:r>
              <w:t>Copywriting and paid ads management</w:t>
            </w:r>
          </w:p>
        </w:tc>
      </w:tr>
      <w:tr>
        <w:tc>
          <w:tcPr>
            <w:tcW w:type="dxa" w:w="4320"/>
          </w:tcPr>
          <w:p>
            <w:r>
              <w:t>Sarah El-Sayed Mohamed</w:t>
            </w:r>
          </w:p>
        </w:tc>
        <w:tc>
          <w:tcPr>
            <w:tcW w:type="dxa" w:w="4320"/>
          </w:tcPr>
          <w:p>
            <w:r>
              <w:t>Design and page management</w:t>
            </w:r>
          </w:p>
        </w:tc>
      </w:tr>
      <w:tr>
        <w:tc>
          <w:tcPr>
            <w:tcW w:type="dxa" w:w="4320"/>
          </w:tcPr>
          <w:p>
            <w:r>
              <w:t>Mohamed Nasser Saad</w:t>
            </w:r>
          </w:p>
        </w:tc>
        <w:tc>
          <w:tcPr>
            <w:tcW w:type="dxa" w:w="4320"/>
          </w:tcPr>
          <w:p>
            <w:r>
              <w:t>Design and page management</w:t>
            </w:r>
          </w:p>
        </w:tc>
      </w:tr>
      <w:tr>
        <w:tc>
          <w:tcPr>
            <w:tcW w:type="dxa" w:w="4320"/>
          </w:tcPr>
          <w:p>
            <w:r>
              <w:t>Salwa Fathallah Abdel Qader</w:t>
            </w:r>
          </w:p>
        </w:tc>
        <w:tc>
          <w:tcPr>
            <w:tcW w:type="dxa" w:w="4320"/>
          </w:tcPr>
          <w:p>
            <w:r>
              <w:t>Design and copywriting</w:t>
            </w:r>
          </w:p>
        </w:tc>
      </w:tr>
    </w:tbl>
    <w:p/>
    <w:p>
      <w:pPr>
        <w:pStyle w:val="Heading1"/>
      </w:pPr>
      <w:r>
        <w:t>4. Risk Assessment &amp; Mitigation Plan</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 Strategy</w:t>
            </w:r>
          </w:p>
        </w:tc>
      </w:tr>
      <w:tr>
        <w:tc>
          <w:tcPr>
            <w:tcW w:type="dxa" w:w="4320"/>
          </w:tcPr>
          <w:p>
            <w:r>
              <w:t>Over-reliance on the leader</w:t>
            </w:r>
          </w:p>
        </w:tc>
        <w:tc>
          <w:tcPr>
            <w:tcW w:type="dxa" w:w="4320"/>
          </w:tcPr>
          <w:p>
            <w:r>
              <w:t>Assign a clear owner to each track and document steps.</w:t>
            </w:r>
          </w:p>
        </w:tc>
      </w:tr>
      <w:tr>
        <w:tc>
          <w:tcPr>
            <w:tcW w:type="dxa" w:w="4320"/>
          </w:tcPr>
          <w:p>
            <w:r>
              <w:t>Uneven team contribution</w:t>
            </w:r>
          </w:p>
        </w:tc>
        <w:tc>
          <w:tcPr>
            <w:tcW w:type="dxa" w:w="4320"/>
          </w:tcPr>
          <w:p>
            <w:r>
              <w:t>Agree on small, measurable weekly deliverables.</w:t>
            </w:r>
          </w:p>
        </w:tc>
      </w:tr>
      <w:tr>
        <w:tc>
          <w:tcPr>
            <w:tcW w:type="dxa" w:w="4320"/>
          </w:tcPr>
          <w:p>
            <w:r>
              <w:t>Lack of budget</w:t>
            </w:r>
          </w:p>
        </w:tc>
        <w:tc>
          <w:tcPr>
            <w:tcW w:type="dxa" w:w="4320"/>
          </w:tcPr>
          <w:p>
            <w:r>
              <w:t>Rely on organic content, partnerships, and material reuse.</w:t>
            </w:r>
          </w:p>
        </w:tc>
      </w:tr>
      <w:tr>
        <w:tc>
          <w:tcPr>
            <w:tcW w:type="dxa" w:w="4320"/>
          </w:tcPr>
          <w:p>
            <w:r>
              <w:t>Undocumented results</w:t>
            </w:r>
          </w:p>
        </w:tc>
        <w:tc>
          <w:tcPr>
            <w:tcW w:type="dxa" w:w="4320"/>
          </w:tcPr>
          <w:p>
            <w:r>
              <w:t>Maintain an evidence log, secure client consent, and clarify measurement limits.</w:t>
            </w:r>
          </w:p>
        </w:tc>
      </w:tr>
      <w:tr>
        <w:tc>
          <w:tcPr>
            <w:tcW w:type="dxa" w:w="4320"/>
          </w:tcPr>
          <w:p>
            <w:r>
              <w:t>Reliance on freelancers</w:t>
            </w:r>
          </w:p>
        </w:tc>
        <w:tc>
          <w:tcPr>
            <w:tcW w:type="dxa" w:w="4320"/>
          </w:tcPr>
          <w:p>
            <w:r>
              <w:t>Keep a backup list of contractors with clear scopes.</w:t>
            </w:r>
          </w:p>
        </w:tc>
      </w:tr>
      <w:tr>
        <w:tc>
          <w:tcPr>
            <w:tcW w:type="dxa" w:w="4320"/>
          </w:tcPr>
          <w:p>
            <w:r>
              <w:t>Expanding services too early</w:t>
            </w:r>
          </w:p>
        </w:tc>
        <w:tc>
          <w:tcPr>
            <w:tcW w:type="dxa" w:w="4320"/>
          </w:tcPr>
          <w:p>
            <w:r>
              <w:t>Focus on core services first.</w:t>
            </w:r>
          </w:p>
        </w:tc>
      </w:tr>
      <w:tr>
        <w:tc>
          <w:tcPr>
            <w:tcW w:type="dxa" w:w="4320"/>
          </w:tcPr>
          <w:p>
            <w:r>
              <w:t>Unrealistic client expectations</w:t>
            </w:r>
          </w:p>
        </w:tc>
        <w:tc>
          <w:tcPr>
            <w:tcW w:type="dxa" w:w="4320"/>
          </w:tcPr>
          <w:p>
            <w:r>
              <w:t>Provide clear contracts and agreed-upon indicators.</w:t>
            </w:r>
          </w:p>
        </w:tc>
      </w:tr>
    </w:tbl>
    <w:p/>
    <w:p>
      <w:pPr>
        <w:pStyle w:val="Heading1"/>
      </w:pPr>
      <w:r>
        <w:t>5. KPIs (Key Performance Indicators)</w:t>
      </w:r>
    </w:p>
    <w:p>
      <w:pPr>
        <w:pStyle w:val="ListBullet"/>
      </w:pPr>
      <w:r>
        <w:rPr>
          <w:b/>
        </w:rPr>
        <w:t xml:space="preserve">Content Indicators: </w:t>
      </w:r>
      <w:r>
        <w:t>Number of posts published, calendar adherence, meaningful engagement (saves, shares, comments), and profile visits.</w:t>
      </w:r>
    </w:p>
    <w:p>
      <w:pPr>
        <w:pStyle w:val="ListBullet"/>
      </w:pPr>
      <w:r>
        <w:rPr>
          <w:b/>
        </w:rPr>
        <w:t xml:space="preserve">Sales Indicators: </w:t>
      </w:r>
      <w:r>
        <w:t>Number of qualified conversations, calls, sent proposals, follow-ups, and conversion rates.</w:t>
      </w:r>
    </w:p>
    <w:p>
      <w:pPr>
        <w:pStyle w:val="ListBullet"/>
      </w:pPr>
      <w:r>
        <w:rPr>
          <w:b/>
        </w:rPr>
        <w:t xml:space="preserve">Operational Indicators: </w:t>
      </w:r>
      <w:r>
        <w:t>Deadline adherence, actual working hours, rework rate, client satisfaction, and project profitability.</w:t>
      </w:r>
    </w:p>
    <w:p>
      <w:pPr>
        <w:pStyle w:val="ListBullet"/>
      </w:pPr>
      <w:r>
        <w:rPr>
          <w:b/>
        </w:rPr>
        <w:t xml:space="preserve">Campaign Indicators: </w:t>
      </w:r>
      <w:r>
        <w:t>Spend, lead cost/quality, confirmed bookings, physical attendance, and patient acquisition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