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Requirements Gathering</w:t>
      </w:r>
    </w:p>
    <w:p/>
    <w:p>
      <w:pPr>
        <w:pStyle w:val="Heading2"/>
        <w:jc w:val="left"/>
      </w:pPr>
      <w:r>
        <w:t>Stakeholder Analysis</w:t>
      </w:r>
    </w:p>
    <w:p>
      <w:pPr>
        <w:pStyle w:val="ListBullet"/>
        <w:bidi/>
        <w:jc w:val="right"/>
      </w:pPr>
      <w:r>
        <w:rPr>
          <w:b/>
        </w:rPr>
        <w:t xml:space="preserve">العملاء المستهدفون: </w:t>
      </w:r>
      <w:r>
        <w:t>الأطباء، العيادات (أولوية لعيادات النساء والعيادات البيطرية)، الصيدليات، والمعامل. واحتياجاتهم هي بناء حضور رقمي واضح، وتوليد استفسارات جادة (عملاء محتملين)، وتحويل الخبرة الطبية لمحتوى مفهوم.</w:t>
      </w:r>
    </w:p>
    <w:p>
      <w:pPr>
        <w:pStyle w:val="ListBullet"/>
        <w:bidi/>
        <w:jc w:val="right"/>
      </w:pPr>
      <w:r>
        <w:rPr>
          <w:b/>
        </w:rPr>
        <w:t xml:space="preserve">فريق زيركس: </w:t>
      </w:r>
      <w:r>
        <w:t>مكون من 5 أفراد باختصاصات (استراتيجية، تصميم، محتوى، إعلانات، فيديو). واحتياجاتهم هي تنظيم الوقت المحدود (5-10 ساعات أسبوعياً) وتحديد أدوار واضحة لتجنب الإرهاق.</w:t>
      </w:r>
    </w:p>
    <w:p>
      <w:pPr>
        <w:pStyle w:val="ListBullet"/>
        <w:bidi/>
        <w:jc w:val="right"/>
      </w:pPr>
      <w:r>
        <w:rPr>
          <w:b/>
        </w:rPr>
        <w:t xml:space="preserve">المتعاقدون الخارجيون (مستقلون): </w:t>
      </w:r>
      <w:r>
        <w:t>الاستعانة بمصورين مستقلين لتنفيذ جلسات التصوير داخل العيادات بحسب التوفر الجغرافي.</w:t>
      </w:r>
    </w:p>
    <w:p/>
    <w:p>
      <w:pPr>
        <w:pStyle w:val="Heading2"/>
        <w:jc w:val="left"/>
      </w:pPr>
      <w:r>
        <w:t>User Stories &amp; Use Cases</w:t>
      </w:r>
    </w:p>
    <w:p>
      <w:pPr>
        <w:pStyle w:val="ListBullet"/>
        <w:bidi/>
        <w:jc w:val="right"/>
      </w:pPr>
      <w:r>
        <w:rPr>
          <w:b/>
        </w:rPr>
        <w:t xml:space="preserve">سيناريو المبيعات (مسار المبيعات): </w:t>
      </w:r>
      <w:r>
        <w:t>يبدأ بتواصل أولي مخصص، ثم مكالمة اكتشاف لفهم الاحتياج والقدرة التشغيلية للعيادة، يليه تقديم عرض مكتوب، ثم متابعة، وأخيراً بدء المشروع باجتماع.</w:t>
      </w:r>
    </w:p>
    <w:p>
      <w:pPr>
        <w:pStyle w:val="ListBullet"/>
        <w:bidi/>
        <w:jc w:val="right"/>
      </w:pPr>
      <w:r>
        <w:rPr>
          <w:b/>
        </w:rPr>
        <w:t xml:space="preserve">سيناريو المريض الرقمي: </w:t>
      </w:r>
      <w:r>
        <w:t>ركزت الخطة على رحلة المريض الرقمية، حيث يجب أن يشرح المحتوى الطبي الخطوة التالية للمريض بوضوح (دعوة لاتخاذ إجراء) لضمان جودة الاستفسارات وتحويلها لحجوزات.</w:t>
      </w:r>
    </w:p>
    <w:p/>
    <w:p>
      <w:pPr>
        <w:pStyle w:val="Heading2"/>
        <w:jc w:val="left"/>
      </w:pPr>
      <w:r>
        <w:t>Functional Requirements</w:t>
      </w:r>
    </w:p>
    <w:p>
      <w:pPr>
        <w:pStyle w:val="ListBullet"/>
        <w:bidi/>
        <w:jc w:val="right"/>
      </w:pPr>
      <w:r>
        <w:t>تحليل السوق والمنافسين.</w:t>
      </w:r>
    </w:p>
    <w:p>
      <w:pPr>
        <w:pStyle w:val="ListBullet"/>
        <w:bidi/>
        <w:jc w:val="right"/>
      </w:pPr>
      <w:r>
        <w:t>بناء استراتيجية التسويق الطبي.</w:t>
      </w:r>
    </w:p>
    <w:p>
      <w:pPr>
        <w:pStyle w:val="ListBullet"/>
        <w:bidi/>
        <w:jc w:val="right"/>
      </w:pPr>
      <w:r>
        <w:t>إدارة منصات التواصل الاجتماعي.</w:t>
      </w:r>
    </w:p>
    <w:p>
      <w:pPr>
        <w:pStyle w:val="ListBullet"/>
        <w:bidi/>
        <w:jc w:val="right"/>
      </w:pPr>
      <w:r>
        <w:t>كتابة المحتوى والنصوص الطبية.</w:t>
      </w:r>
    </w:p>
    <w:p>
      <w:pPr>
        <w:pStyle w:val="ListBullet"/>
        <w:bidi/>
        <w:jc w:val="right"/>
      </w:pPr>
      <w:r>
        <w:t>التصميمات الطبية وتحرير الفيديو (الرسوم المتحركة والمقاطع القصيرة).</w:t>
      </w:r>
    </w:p>
    <w:p>
      <w:pPr>
        <w:pStyle w:val="ListBullet"/>
        <w:bidi/>
        <w:jc w:val="right"/>
      </w:pPr>
      <w:r>
        <w:t>إدارة الإعلانات الممولة (اختبار، تحسين، تقارير).</w:t>
      </w:r>
    </w:p>
    <w:p/>
    <w:p>
      <w:pPr>
        <w:pStyle w:val="Heading2"/>
        <w:jc w:val="left"/>
      </w:pPr>
      <w:r>
        <w:t>Non-functional Requirements</w:t>
      </w:r>
    </w:p>
    <w:p>
      <w:pPr>
        <w:pStyle w:val="ListBullet"/>
        <w:bidi/>
        <w:jc w:val="right"/>
      </w:pPr>
      <w:r>
        <w:rPr>
          <w:b/>
        </w:rPr>
        <w:t xml:space="preserve">الموثوقية والامتثال الطبي: </w:t>
      </w:r>
      <w:r>
        <w:t>مراجعة المحتوى طبياً من العميل قبل النشر، وتجنب الوعود العلاجية أو التخويف.</w:t>
      </w:r>
    </w:p>
    <w:p>
      <w:pPr>
        <w:pStyle w:val="ListBullet"/>
        <w:bidi/>
        <w:jc w:val="right"/>
      </w:pPr>
      <w:r>
        <w:rPr>
          <w:b/>
        </w:rPr>
        <w:t xml:space="preserve">الخصوصية والأمان: </w:t>
      </w:r>
      <w:r>
        <w:t>عدم مشاركة بيانات المرضى أو تفاصيل تكشف هويتهم، والحصول على موافقة صريحة قبل استخدام صور المرضى.</w:t>
      </w:r>
    </w:p>
    <w:p>
      <w:pPr>
        <w:pStyle w:val="ListBullet"/>
        <w:bidi/>
        <w:jc w:val="right"/>
      </w:pPr>
      <w:r>
        <w:rPr>
          <w:b/>
        </w:rPr>
        <w:t xml:space="preserve">الشفافية (الحدود): </w:t>
      </w:r>
      <w:r>
        <w:t>عدم تقديم أرقام حجوزات أو نتائج مضمونة مسبقاً، والفصل الواضح بين الوصول (مدى الانتشار) والحجوزات المؤكدة.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