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МИНОБРНАУКИ РОССИИ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высшего образования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«САРАТОВСКИЙ НАЦИОНАЛЬНЫЙ ИССЛЕДОВАТЕЛЬСКИЙ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ГОСУДАРСТВЕННЫЙ УНИВЕРСИТЕТ ИМЕНИ Н.Г. ЧЕРНЫШЕВСКОГО»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before="2880" w:after="120" w:line="256" w:lineRule="auto"/>
        <w:ind w:left="-510"/>
        <w:jc w:val="center"/>
        <w:rPr>
          <w:rFonts w:ascii="Times New Roman" w:cs="Times New Roman" w:eastAsia="Calibri" w:hAnsi="Times New Roman"/>
          <w:sz w:val="40"/>
          <w:szCs w:val="40"/>
        </w:rPr>
      </w:pPr>
      <w:r>
        <w:rPr>
          <w:rFonts w:ascii="Times New Roman" w:cs="Times New Roman" w:eastAsia="Calibri" w:hAnsi="Times New Roman"/>
          <w:sz w:val="40"/>
          <w:szCs w:val="40"/>
        </w:rPr>
        <w:t>Реферат</w:t>
      </w: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по дисциплине: «</w:t>
      </w:r>
      <w:r>
        <w:rPr>
          <w:rFonts w:ascii="Times New Roman" w:cs="Times New Roman" w:eastAsia="Calibri" w:hAnsi="Times New Roman"/>
          <w:sz w:val="28"/>
          <w:szCs w:val="28"/>
          <w:lang w:val="ru-RU"/>
        </w:rPr>
        <w:t>Физика</w:t>
      </w:r>
      <w:r>
        <w:rPr>
          <w:rFonts w:ascii="Times New Roman" w:cs="Times New Roman" w:eastAsia="Calibri" w:hAnsi="Times New Roman"/>
          <w:sz w:val="28"/>
          <w:szCs w:val="28"/>
        </w:rPr>
        <w:t>»</w:t>
      </w: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тема: «</w:t>
      </w:r>
      <w:r>
        <w:rPr>
          <w:rFonts w:ascii="Times New Roman" w:cs="Times New Roman" w:eastAsia="Calibri" w:hAnsi="Times New Roman"/>
          <w:sz w:val="28"/>
          <w:szCs w:val="28"/>
          <w:lang w:val="ru-RU"/>
        </w:rPr>
        <w:t>Виды механических деформации в окружающих явлениях</w:t>
      </w:r>
      <w:r>
        <w:rPr>
          <w:rFonts w:ascii="Times New Roman" w:cs="Times New Roman" w:eastAsia="Calibri" w:hAnsi="Times New Roman"/>
          <w:sz w:val="28"/>
          <w:szCs w:val="28"/>
        </w:rPr>
        <w:t>»</w:t>
      </w:r>
      <w:r>
        <w:rPr>
          <w:rFonts w:ascii="Times New Roman" w:cs="Times New Roman" w:eastAsia="Calibri" w:hAnsi="Times New Roman"/>
          <w:sz w:val="28"/>
          <w:szCs w:val="28"/>
        </w:rPr>
        <w:t>»</w:t>
      </w: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before="120" w:after="120" w:line="256" w:lineRule="auto"/>
        <w:ind w:left="-510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before="120" w:after="120" w:line="256" w:lineRule="auto"/>
        <w:ind w:left="-510"/>
        <w:jc w:val="right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 Выполнила</w:t>
      </w:r>
      <w:r>
        <w:rPr>
          <w:rFonts w:ascii="Times New Roman" w:cs="Times New Roman" w:eastAsia="Calibri" w:hAnsi="Times New Roman"/>
          <w:sz w:val="28"/>
          <w:szCs w:val="28"/>
        </w:rPr>
        <w:t>: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студентка </w:t>
      </w:r>
      <w:r>
        <w:rPr>
          <w:rFonts w:ascii="Times New Roman" w:cs="Times New Roman" w:eastAsia="Calibri" w:hAnsi="Times New Roman"/>
          <w:sz w:val="28"/>
          <w:szCs w:val="28"/>
        </w:rPr>
        <w:t>1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курса</w:t>
      </w:r>
    </w:p>
    <w:p>
      <w:pPr>
        <w:spacing w:before="120" w:after="120" w:line="256" w:lineRule="auto"/>
        <w:ind w:left="-510"/>
        <w:jc w:val="right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Г</w:t>
      </w:r>
      <w:r>
        <w:rPr>
          <w:rFonts w:ascii="Times New Roman" w:cs="Times New Roman" w:eastAsia="Calibri" w:hAnsi="Times New Roman"/>
          <w:sz w:val="28"/>
          <w:szCs w:val="28"/>
        </w:rPr>
        <w:t xml:space="preserve">руппы </w:t>
      </w:r>
      <w:r>
        <w:rPr>
          <w:rFonts w:ascii="Times New Roman" w:cs="Times New Roman" w:eastAsia="Calibri" w:hAnsi="Times New Roman"/>
          <w:sz w:val="28"/>
          <w:szCs w:val="28"/>
        </w:rPr>
        <w:t>ПИ</w:t>
      </w:r>
      <w:r>
        <w:rPr>
          <w:rFonts w:ascii="Times New Roman" w:cs="Times New Roman" w:eastAsia="Calibri" w:hAnsi="Times New Roman"/>
          <w:sz w:val="28"/>
          <w:szCs w:val="28"/>
        </w:rPr>
        <w:t>-</w:t>
      </w:r>
      <w:r>
        <w:rPr>
          <w:rFonts w:ascii="Times New Roman" w:cs="Times New Roman" w:eastAsia="Calibri" w:hAnsi="Times New Roman"/>
          <w:sz w:val="28"/>
          <w:szCs w:val="28"/>
        </w:rPr>
        <w:t>151</w:t>
      </w:r>
    </w:p>
    <w:p>
      <w:pPr>
        <w:spacing w:before="120" w:after="120" w:line="256" w:lineRule="auto"/>
        <w:ind w:left="-510"/>
        <w:jc w:val="right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Никитенко Я. В.</w:t>
      </w:r>
    </w:p>
    <w:p>
      <w:pPr>
        <w:spacing w:before="120" w:after="120" w:line="256" w:lineRule="auto"/>
        <w:ind w:left="-510"/>
        <w:jc w:val="right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Проверил</w:t>
      </w:r>
      <w:r>
        <w:rPr>
          <w:rFonts w:ascii="Times New Roman" w:cs="Times New Roman" w:eastAsia="Calibri" w:hAnsi="Times New Roman"/>
          <w:sz w:val="28"/>
          <w:szCs w:val="28"/>
        </w:rPr>
        <w:t>:</w:t>
      </w:r>
      <w:r>
        <w:rPr>
          <w:rFonts w:ascii="Times New Roman" w:cs="Times New Roman" w:eastAsia="Calibri" w:hAnsi="Times New Roman"/>
          <w:sz w:val="28"/>
          <w:szCs w:val="28"/>
        </w:rPr>
        <w:t xml:space="preserve"> преподаватель</w:t>
      </w:r>
    </w:p>
    <w:p>
      <w:pPr>
        <w:spacing w:before="120" w:after="120" w:line="256" w:lineRule="auto"/>
        <w:ind w:left="-510"/>
        <w:jc w:val="right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Черкасова О.А</w:t>
      </w:r>
      <w:r>
        <w:rPr>
          <w:rFonts w:ascii="Times New Roman" w:cs="Times New Roman" w:eastAsia="Calibri" w:hAnsi="Times New Roman"/>
          <w:sz w:val="28"/>
          <w:szCs w:val="28"/>
        </w:rPr>
        <w:t xml:space="preserve">         </w:t>
      </w:r>
    </w:p>
    <w:p>
      <w:pPr>
        <w:spacing w:line="256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line="256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line="256" w:lineRule="auto"/>
        <w:jc w:val="center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line="256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</w:p>
    <w:p>
      <w:pPr>
        <w:spacing w:line="256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                                        </w:t>
      </w:r>
      <w:r>
        <w:rPr>
          <w:rFonts w:ascii="Times New Roman" w:cs="Times New Roman" w:eastAsia="Calibri" w:hAnsi="Times New Roman"/>
          <w:sz w:val="28"/>
          <w:szCs w:val="28"/>
        </w:rPr>
        <w:t>Саратов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</w:rPr>
        <w:t>202</w:t>
      </w:r>
      <w:r>
        <w:rPr>
          <w:rFonts w:ascii="Times New Roman" w:cs="Times New Roman" w:eastAsia="Calibri" w:hAnsi="Times New Roman"/>
          <w:sz w:val="28"/>
          <w:szCs w:val="28"/>
          <w:lang w:val="ru-RU"/>
        </w:rPr>
        <w:t>4</w:t>
      </w:r>
    </w:p>
    <w:p>
      <w:pPr>
        <w:pStyle w:val="TOCHeading"/>
        <w:rPr/>
      </w:pPr>
      <w:r>
        <w:fldChar w:fldCharType="begin"/>
      </w:r>
      <w:r>
        <w:instrText xml:space="preserve">TOC \o "1 - 3" \h \u</w:instrText>
      </w:r>
      <w:r>
        <w:fldChar w:fldCharType="separate"/>
      </w:r>
      <w:r>
        <w:rPr>
          <w:lang w:val="ru-RU"/>
        </w:rPr>
        <w:t>Содержание</w:t>
      </w:r>
    </w:p>
    <w:p>
      <w:r>
        <w:rPr>
          <w:b/>
          <w:lang w:val="ru-RU"/>
        </w:rPr>
        <w:t>Записи в содержании не найдены. Начните с применения стилей заголовков из галереи стилей</w:t>
      </w:r>
    </w:p>
    <w:p>
      <w:pPr>
        <w:rPr/>
      </w:pPr>
    </w:p>
    <w:p>
      <w:r>
        <w:fldChar w:fldCharType="end"/>
      </w:r>
    </w:p>
    <w:p/>
    <w:p>
      <w:pPr>
        <w:ind w:firstLine="876"/>
        <w:rPr/>
      </w:pPr>
      <w:r>
        <w:rPr/>
        <w:br w:type="page"/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bookmarkStart w:id="0" w:name="в"/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ВВЕДЕНИЕ</w:t>
      </w:r>
    </w:p>
    <w:p>
      <w:pPr>
        <w:spacing w:after="0" w:line="240"/>
        <w:ind w:firstLine="825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bookmarkEnd w:id="0"/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Как известно под нагрузкой материалы деформируются. Это связано с тем, чт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при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нагрузке вызывается перемещение частиц тела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тносительн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друг друга.</w:t>
      </w:r>
    </w:p>
    <w:p>
      <w:pPr>
        <w:spacing w:after="0" w:line="240"/>
        <w:ind w:firstLine="825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Деформация сопровождается изменением величин межат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мных сил, мерой которого является механическ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е напряжение. Напряжение определяется отношением прилагаем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й силы F к пл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щади п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верхности S, на к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рую действует данная сила, т. е. сил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й, приходящейся на единичную площадку сечения. Исходя из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пределения в междунар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дной системе единиц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(СИ) механическ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 напряжение измеряется в паскалях: </w:t>
      </w:r>
    </w:p>
    <w:p>
      <w:pPr>
        <w:spacing w:after="0" w:line="2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1 Па = 1 Н/м2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spacing w:after="0" w:line="2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bookmarkStart w:id="1" w:name="один"/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Виды механических деформаций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bookmarkEnd w:id="1"/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Деформации бывают разных видов:</w:t>
      </w:r>
    </w:p>
    <w:p>
      <w:pPr>
        <w:numPr>
          <w:ilvl w:val="0"/>
          <w:numId w:val="5"/>
        </w:numPr>
        <w:spacing w:after="0" w:line="240"/>
        <w:ind w:left="67" w:firstLine="29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Растяжения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вид деформации,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при которой нагрузка прикладывается вдоль стержня, то есть по его оси. 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039745" cy="508000"/>
            <wp:effectExtent l="0" t="0" r="0" b="0"/>
            <wp:docPr id="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left="67" w:right="0" w:firstLine="307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Деформация растяжения является одним из основных лабораторных исследований физических свойств материалов. В ходе приложения растягивающих напряжений определяются величины, при которых материал способен: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numPr>
          <w:ilvl w:val="0"/>
          <w:numId w:val="6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воспринимать нагрузки с дальнейшим восстановлением первоначального состояния (упругая деформация)</w:t>
      </w:r>
    </w:p>
    <w:p>
      <w:pPr>
        <w:numPr>
          <w:ilvl w:val="0"/>
          <w:numId w:val="6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воспринимать нагрузки без восстановления первоначального состояния (пластическая деформация)</w:t>
      </w:r>
    </w:p>
    <w:p>
      <w:pPr>
        <w:numPr>
          <w:ilvl w:val="0"/>
          <w:numId w:val="6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разрушаться на пределе прочности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spacing w:after="0" w:line="240"/>
        <w:ind w:left="67" w:right="0" w:firstLine="2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Данные испытания являются главными для всех тросов и веревок, которые используются для строповки, крепления грузов. Растяжение имеет значение также при строительстве сложных подвесных систем со свободными рабочими элементами.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numPr>
          <w:ilvl w:val="0"/>
          <w:numId w:val="5"/>
        </w:numPr>
        <w:spacing w:after="0" w:line="240"/>
        <w:ind w:left="67" w:firstLine="29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Сжатия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вид деформации, аналогичный растяжению, с одним отличием в способе приложения нагрузки, ее прикладывают соосно, но по направлению к телу. Сдавливание объекта с двух сторон приводит к уменьшению его длины и одновременному упрочнению, приложение больших нагрузок образовывает в теле материала утолщения типа «бочка». 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070860" cy="752475"/>
            <wp:effectExtent l="0" t="0" r="0" b="0"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0" w:line="240"/>
        <w:ind w:left="67" w:firstLine="29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Сдвига -  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вид деформации, при котором нагрузка прикладывается параллельно основанию тела. В ходе деформации сдвига одна плоскость тела смещается в пространстве относительно другой. 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509645" cy="886460"/>
            <wp:effectExtent l="0" t="0" r="0" b="0"/>
            <wp:docPr id="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0" w:line="240"/>
        <w:ind w:left="67" w:firstLine="29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Изгиба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вид деформации, при котором нарушается прямолинейность оси стержня. Деформации изгиба испытывают все достаточной длины стержни, на которые действует нагрузка в поперечном направлении. В зависимости от способа приложения нагрузки при изгибе различают чистый и косой изгиб. 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2844165" cy="861060"/>
            <wp:effectExtent l="0" t="0" r="0" b="0"/>
            <wp:docPr id="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0" w:line="240"/>
        <w:ind w:left="67" w:firstLine="29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Кручения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вид деформации, при котором к телу приложена пара сил, действующая в перпендикулярной плоскости оси тела. </w:t>
      </w:r>
    </w:p>
    <w:p>
      <w:pPr>
        <w:spacing w:after="0" w:line="240"/>
        <w:ind w:left="67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2897505" cy="1525905"/>
            <wp:effectExtent l="0" t="0" r="0" b="0"/>
            <wp:docPr id="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Все пере­численные виды деформации возможны в твердых телах. В жидкостях и газах возможны только деформации объемного сжатия и растяжения, т. к. эти среды не обладают упругостью формы, а только объема (как известно, жидкость принимает форму сосуда, в котором находится, а газ занимает весь предоставленный ему объем).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Деформация называется упругой, если она возникает и исчезает одновременно с внешним воз­действием.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Деформация, которая не исчезает после прекращения внешнего воздействия, называется плас­тической.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Возврат телу исходной формы производится под влиянием силы упругости, которая подчиняется Закону Гука, выраженному формулой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731510" cy="213360"/>
            <wp:effectExtent l="0" t="0" r="0" b="0"/>
            <wp:docPr id="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Формула показывает, что сила упругости находится в пропорциональной зависимости с абсолютным изменением длины деформированного тела.</w:t>
      </w:r>
    </w:p>
    <w:p>
      <w:pPr>
        <w:spacing w:after="0" w:line="240"/>
        <w:ind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Больший лимит величины, действующей на тело силы, имеет предел прочности, который представлен максимальным значением напряжения, выдерживаемым твёрдым телом, не разрушаясь. В зависимости от показателя этого предела, популярные материалы делятся на прочные и хрупкие. К первым относятся многие металлы, например, титан или хром, а хрупким считается чугун.</w:t>
      </w:r>
    </w:p>
    <w:p>
      <w:pPr>
        <w:spacing w:after="0" w:line="240"/>
        <w:ind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Относительная деформация напрямую связана с механическим напряжением тела, которое представлено отношением модуля силы к единице площади воздействия, что отражается в формуле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2927350" cy="414020"/>
            <wp:effectExtent l="0" t="0" r="0" b="0"/>
            <wp:docPr id="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Механическое напряжение представлено давлением и измеряется в Паскалях. Полезность свойств материалов в виде пластичности или упругости, прочности или хрупкости заключена в его деформационных способностях в целом, и широко применяется в строительстве, машиностроении и других инженерных отраслях. Особое значение имеют упругие деформации, которые подлежат тщательному измерению тензометром – прибором, очень точно определяющим деформацию маленькой величины.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br w:type="page"/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2.</w:t>
      </w:r>
      <w:bookmarkStart w:id="2" w:name="два"/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 Механическое напряжение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bookmarkEnd w:id="2"/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Напряжение определяется как сила, действующая через «маленькую» границу на площадь этой границы для всех ориентаций границы. Будучи величиной производной от фундаментальной физической величины (силы) и чисто геометрической величины (площади), напряжение также является фундаментальной величиной, такой как скорость, крутящий момент или энергия, которые можно количественно оценить и проанализировать без явного учёта как природы материала так и его физические причины.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Следуя основным положениям механики сплошных сред, напряжение — это макроскопическое понятие. А именно, составляющие тело частицы, рассматриваемые в его определении и анализе, должны быть достаточно малыми, чтобы их можно было рассматривать как однородные по составу и состоянию, но всё жё достаточно большими, чтобы игнорировать квантовые эффекты и детальное движение молекул среды. Таким образом, сила между двумя частицами на самом деле является средним значением очень большого числа атомных сил между их молекулами; и предполагается, что физические величины, такие как масса, скорость и силы, которые действуют через объём трёхмерных тел, например гравитация, плавно распределены по ним.:p.90–106 В зависимости от контекста, можно также предположить, что частицы достаточно велики, чтобы позволить усреднение других микроскопических структурных характеристик, таких как зёрна металлического стержня или волокна куска дерева.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Количественно напряжение выражается вектором напряжения Коши Т, определяемым как сила F между соседними частями материала через воображаемую разделяющую поверхность S, делённую на площадь S при стремлении этой поверхности к нулю:p.41–50 В :p.41–50 жидкости сила перпендикулярна поверхности и представляет собой знакомое давление.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твёрдом теле или в потоке вязкой жидкости сила F может быть не перпендикулярна поверхности S; следовательно, напряжение на поверхности следует рассматривать как векторную величину, а не как скаляр. Более того, направление и величина обычно зависят от ориентации поверхности S.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Таким образом, напряжённое состояние материала должно описываться тензором (второго ранга), называемым тензором напряжений (Коши); который является линейной функцией, связывающей вектор нормали n к поверхности S с напряжением T.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 отношению к любой выбранной системе координат тензор напряжений Коши может быть представлен в виде симметричной матрицы вещественных чисел 3 × 3. Даже внутри однородного тела тензор напряжений может меняться в зависимости от координат и времени; следовательно, напряжение в материале, как правило, является изменяющимся во времени тензорным полем.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Напряжение в упругом теле может быть вызвано множеством физических причин, включая внешние воздействия и внутренние физические процессы. Некоторые из этих агентов (например, сила тяжести, изменения температуры и термодинамической фазы, а также электромагнитные поля) действуют на основную массу материала, непрерывно меняясь в зависимости от координат и времени. Другие агенты (например, внешние нагрузки и трение, давление окружающей среды и контактные силы) могут создавать напряжения и силы, которые сосредоточены на определённых поверхностях, линиях или точках; и, возможно, также на очень коротких временных интервалах (например, в импульсах из-за столкновений и ударов).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 активном веществе самодвижущиеся микроскопические частицы порождают макроскопические профили напряжения. В общем случае, распределение напряжений в теле выражается в виде кусочно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-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непрерывной функция координат и времени.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Напротив, напряжение обычно коррелирует с различными воздействиями на материал, возможно, включащие изменения физических свойств, таких как двулучепреломление, поляризация и проницаемость. Приложение напряжения из-за внешнего фактора обычно создаёт некоторую деформацию в материале, даже если она слишком мала для обнаружения.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твёрдом материале такая деформация, в свою очередь, вызовет внутреннее упругое напряжение, аналогичное силе реакции растянутой пружины, стремящейся восстановить исходное недеформированное состояние материала.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Жидкие материалы (жидкости, газы и плазма) по определению могут только противодействовать деформациям, которые могут изменить их объём. Однако, если деформация изменяется со временем, даже в жидкостях обычно возникает некоторое вязкое напряжение, препятствующее этому изменению. Такие напряжения могут быть как сдвиговыми, так и нормальными. Молекулярная природа сдвиговых напряжений в жидкостях изложена в статье о вязкости. То же самое для нормальных вязких напряжений можно найти в Sharma (2019).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Связь между напряжением и его последствиями и причинами, включая деформацию и скорость изменения деформации, может быть довольно сложной (хотя на практике используют линейное приближение, если величины достаточно малы). Напряжение, превышающее определённые пределы прочности материала, приведёт к необратимой деформации (например, пластическому течению, разрушению, кавитации) или даже к изменению его кристаллической структуры и химического состава.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Анализ напряжений можно выполнить экспериментально, путём приложения нагрузок к фактической детали или для масштабированной модели и измерения результирующих напряжений с помощью любого из нескольких доступных методов. Этот подход часто используется для сертификации и мониторинга безопасности больших конструкций. Однако большая часть анализа напряжений выполняется математическими методами, особенно во время проектирования.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Для основной задачи анализа напряжений следует составить уравнения движения Эйлера для сплошных тел (которые являются следствием законов Ньютона для сохранения количества движения и момента количества движения) и принципа напряжений Эйлера — Коши вместе с соответствующими материальными соотношениями. Таким образом, получается система уравнений в частных производных, включающая поле тензора напряжений и поле тензора деформации в качестве неизвестных функций, которые необходимо найти. Внешние объёмные силы появляются как независимый («правая часть») член в дифференциальных уравнениях, а сосредоточенные силы входят в уравнения как граничные условия. Таким образом, основная задача анализа напряжений — это краевая задача 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Расчёт напряжений для упругих конструкций основан на теории упругости и теории бесконечно малых деформаций. Когда приложенные нагрузки вызывают остаточную деформацию, необходимо использовать более сложные материальные соотношения, которые могут учитывать важные физические процессы (пластическое течение, разрушение, фазовый переход и т. д.).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Однако инженерные конструкции обычно проектируются таким образом, чтобы максимальные ожидаемые напряжения находились в пределах диапазона линейной упругости (обобщение закона Гука для сплошных сред); то есть деформации, вызванные внутренними напряжениями, должны быть связаны с ними линейно. В этом случае дифференциальные уравнения, определяющие тензор напряжений, являются линейными, и задача значительно упрощается. Во-первых, напряжение в любой точке также будет линейной функцией нагрузки. При достаточно малых напряжениях даже нелинейные системы обычно можно считать линейными.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br w:type="page"/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3. </w:t>
      </w:r>
      <w:bookmarkStart w:id="3" w:name="три"/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Модуль упругости. Закон Гука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bookmarkEnd w:id="3"/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Закон Гука применим только для очень малых нагрузок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626110" cy="224155"/>
            <wp:effectExtent l="0" t="0" r="0" b="0"/>
            <wp:docPr id="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При больших деформациях будут наблюдаться сначала небольшие отклонения от пропорциональности между напряжением и деформацией, которые будут возрастать при увеличении деформации. Макроскопически эта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нелинейность обнаруживается с трудом, и в технике ею обычно пренебрегают. Для упругой деформации характерно, что твердое тело самопроизвольно возвращается к исходному недеформированному состоянию при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прекращении внешнего воздействия.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Однако металлические материалы могу деформироваться до удлинений много больших, чем предел разрушений (при упругой деформации),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так как они деформируются пластично. Это означает, что изменение формы сохраняется при снятии внешней нагрузки.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Модуль упругости большинства керамических материалов и металлов лежит в сравнительно узком диапазоне значений, от 30 до 300 ГПа. Для большинства кристаллических материалов модуль упругости лежит именно в этом диапазоне. Полимеры отличаются от них радикально, и их модуль упругости намного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ниже, иногда на несколько порядков. </w:t>
      </w: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Плотные керамические материалы, подобно металлам, обладают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точно определенным модулем упругости. Значение модуля упругости керамики в целом выше, чем у металлов, что отражает высокую жесткость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ионной связи простых оксидов и ковалентной связи силикатов.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Несмотря на открытие и массовое применение значительного числа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новых неметаллических материалов, металлы по-прежнему играют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огромную роль в промышленности, к тому же металлы составляют 80 %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элементов Периодической системы.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single"/>
          <w:lang w:val="ru-RU"/>
        </w:rPr>
        <w:t>Закон Гука и измерение силы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Закон Гука лежит в основе измерения сил пружинным механическим динамометром. В этом приборе измеряемая сила передаётся пружине, которая в зависимости от направления силы сжимается или растягивается. Величина упругой деформации пружины пропорциональна силе воздействия и регистрируется.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Принципиальная возможность измерения обеспечивается уже свойством упругости, но без закона Гука упомянутая пропорциональность отсутствовала бы и градуировочная шкала стала бы неравномерной, что неудобно.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single"/>
          <w:lang w:val="ru-RU"/>
        </w:rPr>
        <w:t>Обобщённый закон Гука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 общем случае напряжения и деформации описываются тензорами второго ранга в трёхмерном пространстве (имеют по 9 компонент). Связывающий их тензор упругих постоянных является тензором четвёртого ранга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drawing xmlns:mc="http://schemas.openxmlformats.org/markup-compatibility/2006">
          <wp:inline distT="0" distB="0" distL="0" distR="0">
            <wp:extent cx="2202815" cy="154305"/>
            <wp:effectExtent l="0" t="0" r="0" b="0"/>
            <wp:docPr id="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Вследствие симметрии тензора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drawing xmlns:mc="http://schemas.openxmlformats.org/markup-compatibility/2006">
          <wp:inline distT="0" distB="0" distL="0" distR="0">
            <wp:extent cx="433070" cy="211455"/>
            <wp:effectExtent l="0" t="0" r="0" b="0"/>
            <wp:docPr id="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,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а также тензоров напряжений и деформаций, независимыми являются только 21 постоянная. Закон Гука выглядит следующим образом: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drawing xmlns:mc="http://schemas.openxmlformats.org/markup-compatibility/2006">
          <wp:inline distT="0" distB="0" distL="0" distR="0">
            <wp:extent cx="4668520" cy="972185"/>
            <wp:effectExtent l="0" t="0" r="0" b="0"/>
            <wp:docPr id="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Для изотропного материала тензор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содержит только два независимых коэффициента.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Благодаря симметрии тензоров напряжения и деформации, закон Гука может быть представлен в матричной форме.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Для линейно упругого изотропного тела: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drawing xmlns:mc="http://schemas.openxmlformats.org/markup-compatibility/2006">
          <wp:inline distT="0" distB="0" distL="0" distR="0">
            <wp:extent cx="2599055" cy="3968115"/>
            <wp:effectExtent l="0" t="0" r="0" b="0"/>
            <wp:docPr id="1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br w:type="page"/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</w:pPr>
      <w:bookmarkStart w:id="4" w:name="чотыре"/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>4. Вязкость разрушения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bookmarkEnd w:id="4"/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Сопротивление распространению трещин, или вязкость разрушения,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является одной из наиболее важных характеристик конструкционных материалов. Распространение трещины сопровождается работой пластической деформации. Величина силы G, необходимой для распространения трещины на единицу длины, определяется при плоско напряженном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состоянии с помощью соотношения: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drawing xmlns:mc="http://schemas.openxmlformats.org/markup-compatibility/2006">
          <wp:inline distT="0" distB="0" distL="0" distR="0">
            <wp:extent cx="1164590" cy="596265"/>
            <wp:effectExtent l="0" t="0" r="0" b="0"/>
            <wp:docPr id="1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где σ – приложенное напряжение, а – длина трещины, Е – модуль упругости. Параметр G называют вязкостью разрушения. Величина G достигает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критического значения Gc, когда произведение σ^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2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а становится критическим. Начиная с этого момента, трещина растет самопроизвольно, затраты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энергии для ее дальнейшего роста не нужны, освобождающаяся упругая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энергия при раскрытии трещины превышает поверхностную энергию, необходимую для образования новой поверхности разрушения. Трещина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становится неустойчивой и, распространяясь по телу материала, приводит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к его разрушению. Значение параметра Gc может служить мерой сопротивления материала распространению трещин или мерой вязкости разрушения. Величина Gc имеет размерность силы на единицу длины.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Вязкость разрушения керамических материалов примерно в 50 раз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ниже, чем у пластичных. При высокой вязкости разрушения распространение трещины затруднено (это характерно, например, для меди). Напротив, стекло растрескивается очень легко.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Прочность материала пропорциональна его вязкости разрушения 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обратно пропорциональна квадратному корню длины самой крупной микротрещины. В процессе производства изделий строительной керамики 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них возникает множество трещин размером до 2 мм, что значительно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снижает их прочность.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Общей чертой хрупкого разрушения (ему подвержены сварные корпуса судов, трубы газопроводов и сосуды высокого давления) является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наличие исходных трещин, что часто происходит из-за низкого качества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сварки. Хрупкое разрушение вызывается ростом трещин, которые внезапно становятся неустойчивыми и распространяются в материале со скоростью звука.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 При достаточно высоком напряжении разрушение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произойдет вследствие роста этой трещины. Если исследовать поверх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ность металла после разрушения, мы увидим, что поверхность разрушения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крайне неровная, что свидетельствует о большой совершенной пластической работе. Это можно объяснить тем, что напряжение вблизи кончика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трещины выше среднего напряжения. Иными словами, в кончике трещины имеется концентрация напряжения.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Пластическое течение в кончике трещины постепенно приводит к ее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затуплению. Важная особенность вязкого разрушения состоит в том, что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на пластическое течение расходуется большое количество энергии. Чем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больше зона пластичности, тем больше поглощаемая энергия. Именно поэтому пластичные металлы имеют высокую вязкость разрушения. Этот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механизм разрушения типичен и для других материалов, например, пластилина. Вязкость полимеров также обусловлена процессом пластического течения.</w:t>
      </w:r>
    </w:p>
    <w:p>
      <w:pPr>
        <w:spacing w:after="0" w:line="240"/>
        <w:ind w:right="0"/>
        <w:jc w:val="both"/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br w:type="page"/>
      </w:r>
    </w:p>
    <w:p>
      <w:pPr>
        <w:spacing w:after="0" w:line="240"/>
        <w:ind w:right="0"/>
        <w:jc w:val="center"/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</w:pPr>
      <w:bookmarkStart w:id="5" w:name="зак"/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>ЗАКЛЮЧЕНИЕ</w:t>
      </w:r>
    </w:p>
    <w:p>
      <w:pPr>
        <w:spacing w:after="0" w:line="240"/>
        <w:ind w:right="0" w:firstLine="8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bookmarkEnd w:id="5"/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Таким образом, изучение механической деформации играет важную роль в понимании поведения материалов под воздействием внешних сил. Этот процесс позволяет нам предсказывать и контролировать изменения формы и свойств материалов, что имеет огромное значение для различных отраслей промышленности и науки. Дальнейшие исследования в этой области могут привести к разработке новых материалов с улучшенными свойствами и созданию более эффективных технологий производства.</w:t>
      </w:r>
    </w:p>
    <w:p>
      <w:pPr>
        <w:spacing w:after="0" w:line="240"/>
        <w:ind w:right="0" w:firstLine="720"/>
        <w:jc w:val="both"/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</w:pPr>
    </w:p>
    <w:p>
      <w:pPr>
        <w:spacing w:after="0" w:line="240"/>
        <w:ind w:left="0" w:right="0" w:firstLine="853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br w:type="page"/>
      </w:r>
    </w:p>
    <w:p>
      <w:pPr>
        <w:spacing w:after="0" w:line="240"/>
        <w:ind w:left="0" w:right="0" w:firstLine="853"/>
        <w:jc w:val="center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bookmarkStart w:id="6" w:name="ичт"/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Источники информации</w:t>
      </w:r>
    </w:p>
    <w:p>
      <w:pPr>
        <w:numPr>
          <w:ilvl w:val="0"/>
          <w:numId w:val="8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bookmarkEnd w:id="6"/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[Электронный ресурс]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Деформация и ее виды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URL:</w:t>
      </w:r>
      <w:r>
        <w:fldChar w:fldCharType="begin"/>
      </w:r>
      <w:r>
        <w:instrText xml:space="preserve">HYPERLINK "https://www.napishem.ru/spravochnik/fizika/molekulyarno-kineticheskaya-teoriya/deformatsiya-i-eyo-vidy.html"</w:instrText>
      </w:r>
      <w:r>
        <w:fldChar w:fldCharType="separate"/>
      </w:r>
      <w:r>
        <w:rPr>
          <w:rStyle w:val="Hyperlink"/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https://www.napishem.ru/spravochnik/fizika/molekulyarno-kineticheskaya-teoriya/deformatsiya-i-eyo-vidy.html</w:t>
      </w:r>
      <w:r>
        <w:fldChar w:fldCharType="end"/>
      </w:r>
    </w:p>
    <w:p>
      <w:pPr>
        <w:numPr>
          <w:ilvl w:val="0"/>
          <w:numId w:val="8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[Электронный ресурс]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Четыре основных вида деформаций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URL: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https://sopromat.xyz/lectures?node=2105#:~:text=%D0%94%D0%B5%D1%84%D0%BE%D1%80%D0%BC%D0%B0%D1%86%D0%B8%D1%8F%20%D1%80%D0%B0%D1%81%D1%82%D1%8F%D0%B6%D0%B5%D0%BD%D0%B8%D1%8F%20%E2%80%94%20%D0%B2%D0%B8%D0%B4%20%D0%B4%D0%B5%D1%84%D0%BE%D1%80%D0%BC%D0%B0%D1%86%D0%B8%D0%B8%2C%20%D0%BF%D1%80%D0%B8,%D0%BD%D0%B0%20%D0%B1%D1%83%D0%BA%D1%81%D0%B8%D1%80%D0%BE%D0%B2%D0%BE%D1%87%D0%BD%D0%BE%D0%BC%20%D1%82%D1%80%D0%BE%D1%81%D0%B5%20%D0%B4%D0%BB%D1%8F%20%D0%B0%D0%B2%D1%82%D0%BE%D0%BC%D0%BE%D0%B1%D0%B8%D0%BB%D0%B5%D0%B9.</w:t>
      </w:r>
    </w:p>
    <w:p>
      <w:pPr>
        <w:numPr>
          <w:ilvl w:val="0"/>
          <w:numId w:val="8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[Электронный ресурс]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Понятие о деформациях URL: </w:t>
      </w:r>
      <w:r>
        <w:fldChar w:fldCharType="begin"/>
      </w:r>
      <w:r>
        <w:instrText xml:space="preserve">HYPERLINK "https://foxford.ru/wiki/fizika/ponyatie-o-deformatsiyah?utm_referrer=https%3A%2F%2Fwww.google.com%2F"</w:instrText>
      </w:r>
      <w:r>
        <w:fldChar w:fldCharType="separate"/>
      </w:r>
      <w:r>
        <w:rPr>
          <w:rStyle w:val="Hyperlink"/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https://foxford.ru/wiki/fizika/ponyatie-o-deformatsiyah?utm_referrer=https%3A%2F%2Fwww.google.com%2F</w:t>
      </w:r>
      <w:r>
        <w:fldChar w:fldCharType="end"/>
      </w:r>
    </w:p>
    <w:p>
      <w:pPr>
        <w:numPr>
          <w:ilvl w:val="0"/>
          <w:numId w:val="8"/>
        </w:numPr>
        <w:spacing w:after="0" w:line="24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2. Савельев И. В. Курс общей физики. В 5-и тт. Том 1. Механика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[Электронный ресурс]: учебное пособие. СПб.: Лань, 2011. – 337 с. URL: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http://e.lanbook.com/books/element.php?pl1_id=704. – Загл. с экрана.</w:t>
      </w:r>
    </w:p>
    <w:p>
      <w:pPr>
        <w:spacing w:after="0" w:line="240"/>
        <w:ind w:left="653" w:right="0" w:hanging="28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5. Юскаев В. Б. Композиционные материалы [Электронный ресурс].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Сумы: СумГУ, 2006. 179 с. URL: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http://essuir.sumdu.edu.ua/bitstream/123456789/1929/3/Kompmat.pdf.</w:t>
      </w:r>
    </w:p>
    <w:p>
      <w:pPr>
        <w:spacing w:after="0" w:line="240"/>
        <w:ind w:left="720" w:right="0" w:hanging="307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6. Работнов, Ю. Н. Введение в механику разрушения [Электронный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ресурс]. М.: Наука. Гл. ред. физ.-мат. лит., 1987. 80 с. URL:</w:t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fldChar w:fldCharType="begin"/>
      </w:r>
      <w:r>
        <w:instrText xml:space="preserve">HYPERLINK "http://www.ph4s.ru/book_razrushenie.html"</w:instrText>
      </w:r>
      <w:r>
        <w:fldChar w:fldCharType="separate"/>
      </w:r>
      <w:r>
        <w:rPr>
          <w:rStyle w:val="Hyperlink"/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http://www.ph4s.ru/book_razrushenie.html</w:t>
      </w:r>
      <w:r>
        <w:fldChar w:fldCharType="end"/>
      </w: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240"/>
        <w:ind w:left="72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ind w:firstLine="825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ind w:firstLine="825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ind w:firstLine="876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ind w:firstLine="876"/>
        <w:jc w:val="both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573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293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012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732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452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172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892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612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332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1573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293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013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733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4453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173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893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613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333" w:hanging="360"/>
      </w:pPr>
      <w:rPr/>
    </w:lvl>
  </w:abstractNum>
  <w:abstractNum w:abstractNumId="3">
    <w:multiLevelType w:val="hybridMultilevel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lowerRoman"/>
      <w:isLgl w:val="off"/>
      <w:suff w:val="tab"/>
      <w:lvlText w:val="%1."/>
      <w:lvlJc w:val="righ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293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012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732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452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172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892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612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332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293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012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732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452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172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892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612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332" w:hanging="360"/>
      </w:p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b w:val="off"/>
      <w:bCs w:val="off"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on"/>
    <w:pPr>
      <w:spacing w:after="100"/>
      <w:ind w:left="176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0" Type="http://schemas.openxmlformats.org/officeDocument/2006/relationships/image" Target="media/image17.png"/><Relationship Id="rId101" Type="http://schemas.openxmlformats.org/officeDocument/2006/relationships/image" Target="media/image18.png"/><Relationship Id="rId102" Type="http://schemas.openxmlformats.org/officeDocument/2006/relationships/image" Target="media/image19.png"/><Relationship Id="rId103" Type="http://schemas.openxmlformats.org/officeDocument/2006/relationships/image" Target="media/image20.png"/><Relationship Id="rId104" Type="http://schemas.openxmlformats.org/officeDocument/2006/relationships/image" Target="media/image21.png"/><Relationship Id="rId105" Type="http://schemas.openxmlformats.org/officeDocument/2006/relationships/image" Target="media/image22.png"/><Relationship Id="rId106" Type="http://schemas.openxmlformats.org/officeDocument/2006/relationships/image" Target="media/image23.png"/><Relationship Id="rId107" Type="http://schemas.openxmlformats.org/officeDocument/2006/relationships/image" Target="media/image24.png"/><Relationship Id="rId108" Type="http://schemas.openxmlformats.org/officeDocument/2006/relationships/image" Target="media/image25.png"/><Relationship Id="rId109" Type="http://schemas.openxmlformats.org/officeDocument/2006/relationships/image" Target="media/image26.png"/><Relationship Id="rId18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97" Type="http://schemas.openxmlformats.org/officeDocument/2006/relationships/image" Target="media/image14.png"/><Relationship Id="rId98" Type="http://schemas.openxmlformats.org/officeDocument/2006/relationships/image" Target="media/image15.png"/><Relationship Id="rId99" Type="http://schemas.openxmlformats.org/officeDocument/2006/relationships/image" Target="media/image16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1.png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image" Target="media/image5.png"/><Relationship Id="rId50" Type="http://schemas.openxmlformats.org/officeDocument/2006/relationships/image" Target="media/image6.png"/><Relationship Id="rId51" Type="http://schemas.openxmlformats.org/officeDocument/2006/relationships/image" Target="media/image7.png"/><Relationship Id="rId52" Type="http://schemas.openxmlformats.org/officeDocument/2006/relationships/image" Target="media/image8.png"/><Relationship Id="rId53" Type="http://schemas.openxmlformats.org/officeDocument/2006/relationships/image" Target="media/image9.png"/><Relationship Id="rId54" Type="http://schemas.openxmlformats.org/officeDocument/2006/relationships/image" Target="media/image10.png"/><Relationship Id="rId55" Type="http://schemas.openxmlformats.org/officeDocument/2006/relationships/image" Target="media/image11.png"/><Relationship Id="rId56" Type="http://schemas.openxmlformats.org/officeDocument/2006/relationships/image" Target="media/image12.png"/><Relationship Id="rId57" Type="http://schemas.openxmlformats.org/officeDocument/2006/relationships/image" Target="media/image13.png"/><Relationship Id="rId58" Type="http://schemas.openxmlformats.org/officeDocument/2006/relationships/image" Target="media/image1.png"/><Relationship Id="rId59" Type="http://schemas.openxmlformats.org/officeDocument/2006/relationships/image" Target="media/image2.png"/><Relationship Id="rId60" Type="http://schemas.openxmlformats.org/officeDocument/2006/relationships/image" Target="media/image3.png"/><Relationship Id="rId61" Type="http://schemas.openxmlformats.org/officeDocument/2006/relationships/image" Target="media/image4.png"/><Relationship Id="rId62" Type="http://schemas.openxmlformats.org/officeDocument/2006/relationships/image" Target="media/image5.png"/><Relationship Id="rId63" Type="http://schemas.openxmlformats.org/officeDocument/2006/relationships/image" Target="media/image6.png"/><Relationship Id="rId64" Type="http://schemas.openxmlformats.org/officeDocument/2006/relationships/image" Target="media/image7.png"/><Relationship Id="rId65" Type="http://schemas.openxmlformats.org/officeDocument/2006/relationships/image" Target="media/image8.png"/><Relationship Id="rId66" Type="http://schemas.openxmlformats.org/officeDocument/2006/relationships/image" Target="media/image9.png"/><Relationship Id="rId67" Type="http://schemas.openxmlformats.org/officeDocument/2006/relationships/image" Target="media/image10.png"/><Relationship Id="rId68" Type="http://schemas.openxmlformats.org/officeDocument/2006/relationships/image" Target="media/image11.png"/><Relationship Id="rId69" Type="http://schemas.openxmlformats.org/officeDocument/2006/relationships/image" Target="media/image12.png"/><Relationship Id="rId70" Type="http://schemas.openxmlformats.org/officeDocument/2006/relationships/image" Target="media/image13.png"/><Relationship Id="rId71" Type="http://schemas.openxmlformats.org/officeDocument/2006/relationships/image" Target="media/image1.png"/><Relationship Id="rId72" Type="http://schemas.openxmlformats.org/officeDocument/2006/relationships/image" Target="media/image2.png"/><Relationship Id="rId73" Type="http://schemas.openxmlformats.org/officeDocument/2006/relationships/image" Target="media/image3.png"/><Relationship Id="rId74" Type="http://schemas.openxmlformats.org/officeDocument/2006/relationships/image" Target="media/image4.png"/><Relationship Id="rId75" Type="http://schemas.openxmlformats.org/officeDocument/2006/relationships/image" Target="media/image5.png"/><Relationship Id="rId76" Type="http://schemas.openxmlformats.org/officeDocument/2006/relationships/image" Target="media/image6.png"/><Relationship Id="rId77" Type="http://schemas.openxmlformats.org/officeDocument/2006/relationships/image" Target="media/image7.png"/><Relationship Id="rId78" Type="http://schemas.openxmlformats.org/officeDocument/2006/relationships/image" Target="media/image8.png"/><Relationship Id="rId79" Type="http://schemas.openxmlformats.org/officeDocument/2006/relationships/image" Target="media/image9.png"/><Relationship Id="rId80" Type="http://schemas.openxmlformats.org/officeDocument/2006/relationships/image" Target="media/image10.png"/><Relationship Id="rId81" Type="http://schemas.openxmlformats.org/officeDocument/2006/relationships/image" Target="media/image11.png"/><Relationship Id="rId82" Type="http://schemas.openxmlformats.org/officeDocument/2006/relationships/image" Target="media/image12.png"/><Relationship Id="rId83" Type="http://schemas.openxmlformats.org/officeDocument/2006/relationships/image" Target="media/image13.png"/><Relationship Id="rId84" Type="http://schemas.openxmlformats.org/officeDocument/2006/relationships/image" Target="media/image1.png"/><Relationship Id="rId85" Type="http://schemas.openxmlformats.org/officeDocument/2006/relationships/image" Target="media/image2.png"/><Relationship Id="rId86" Type="http://schemas.openxmlformats.org/officeDocument/2006/relationships/image" Target="media/image3.png"/><Relationship Id="rId87" Type="http://schemas.openxmlformats.org/officeDocument/2006/relationships/image" Target="media/image4.png"/><Relationship Id="rId88" Type="http://schemas.openxmlformats.org/officeDocument/2006/relationships/image" Target="media/image5.png"/><Relationship Id="rId89" Type="http://schemas.openxmlformats.org/officeDocument/2006/relationships/image" Target="media/image6.png"/><Relationship Id="rId90" Type="http://schemas.openxmlformats.org/officeDocument/2006/relationships/image" Target="media/image7.png"/><Relationship Id="rId91" Type="http://schemas.openxmlformats.org/officeDocument/2006/relationships/image" Target="media/image8.png"/><Relationship Id="rId92" Type="http://schemas.openxmlformats.org/officeDocument/2006/relationships/image" Target="media/image9.png"/><Relationship Id="rId93" Type="http://schemas.openxmlformats.org/officeDocument/2006/relationships/image" Target="media/image10.png"/><Relationship Id="rId94" Type="http://schemas.openxmlformats.org/officeDocument/2006/relationships/image" Target="media/image11.png"/><Relationship Id="rId95" Type="http://schemas.openxmlformats.org/officeDocument/2006/relationships/image" Target="media/image12.png"/><Relationship Id="rId96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Никитенко</dc:creator>
  <cp:lastModifiedBy>Яна Никитенко</cp:lastModifiedBy>
</cp:coreProperties>
</file>