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CataIEG — Collaborator Feedback Response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Zirui Song · 2026-04-09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Q1: CatalystFamily 与 ReactionTemplate 的定义及归一化问题</w:t>
      </w:r>
    </w:p>
    <w:p>
      <w:pPr>
        <w:pBdr>
          <w:left w:val="single" w:color="2E75B6" w:sz="6" w:space="8"/>
        </w:pBdr>
        <w:spacing w:after="120" w:before="8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CatalystFamily和ReactionTemplate是如何定义的？ReactionTemplate和Reaction数量差不多。跨文献桥接显示中 Ni/Al2O3 和 Al2O3 的原文都一样，却是同一个 CatalystFamily。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ReactionTemplate</w:t>
      </w:r>
      <w:r>
        <w:rPr>
          <w:rFonts w:ascii="Arial" w:cs="Arial" w:eastAsia="Arial" w:hAnsi="Arial"/>
          <w:sz w:val="22"/>
          <w:szCs w:val="22"/>
        </w:rPr>
        <w:t xml:space="preserve"> 基于确定性字段（reaction_domain + reaction_class + transformation）做精确去重，因此与 Reaction 数量接近是符合预期的——100 篇论文中反应命名多样，真正完全重叠的很少。未来扩展到 500+ 篇时，合并率会显著提升。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CatalystFamily</w:t>
      </w:r>
      <w:r>
        <w:rPr>
          <w:rFonts w:ascii="Arial" w:cs="Arial" w:eastAsia="Arial" w:hAnsi="Arial"/>
          <w:sz w:val="22"/>
          <w:szCs w:val="22"/>
        </w:rPr>
        <w:t xml:space="preserve"> 通过 LLM 归一化，将同一类催化剂的不同变体（如不同负载量、不同制备条件）合并为一个家族。关于 Ni/Al2O3 与 Al2O3 的问题，经排查它们实际上属于不同的 CatalystFamily（前者是负载型催化剂，后者是裸载体）。但我们确实发现了其他真实问题：NiAl 混合氧化物被错误归入 Ni/Al2O3 家族，G-91 等编号催化剂被错误合并。已修复（见 Q2）。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[✅ 已确认并修复实际问题]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Q2: CatalystFamily LLM 归一化质量优化</w:t>
      </w:r>
    </w:p>
    <w:p>
      <w:pPr>
        <w:pBdr>
          <w:left w:val="single" w:color="2E75B6" w:sz="6" w:space="8"/>
        </w:pBdr>
        <w:spacing w:after="120" w:before="8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HZSM-5和ZSM-5被视为不同催化剂；Pt(1)/Al2O3、Pt(0.3)/Al2O3、Pt(0.1)/Al2O3又被视作同一种。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已完成三项改进：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重写 LLM System Prompt：</w:t>
      </w:r>
      <w:r>
        <w:rPr>
          <w:rFonts w:ascii="Arial" w:cs="Arial" w:eastAsia="Arial" w:hAnsi="Arial"/>
          <w:sz w:val="22"/>
          <w:szCs w:val="22"/>
        </w:rPr>
        <w:t xml:space="preserve">新增三步化学感知决策框架（Rules A–J），明确区分“负载金属 ≠ 裸载体”、“混合氧化物 ≠ 负载型”、“质子形式差异如 H-form vs Na-form 应合并”等规则。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新增 Guard A/B 后处理：</w:t>
      </w:r>
      <w:r>
        <w:rPr>
          <w:rFonts w:ascii="Arial" w:cs="Arial" w:eastAsia="Arial" w:hAnsi="Arial"/>
          <w:sz w:val="22"/>
          <w:szCs w:val="22"/>
        </w:rPr>
        <w:t xml:space="preserve">Guard A 检测“负载金属被归为裸载体”，Guard B 检测“体相氧化物被归为负载型”，自动回退到原名。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重新跑 LLM 归一化：</w:t>
      </w:r>
      <w:r>
        <w:rPr>
          <w:rFonts w:ascii="Arial" w:cs="Arial" w:eastAsia="Arial" w:hAnsi="Arial"/>
          <w:sz w:val="22"/>
          <w:szCs w:val="22"/>
        </w:rPr>
        <w:t xml:space="preserve">369 个原始名称 → 211 个 CatalystFamily（压缩比 1.7x），抽样审计未再发现化学归类错误。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针对合作者提到的两个具体案例，优化前后对比如下：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  <w:color w:val="2E75B6"/>
        </w:rPr>
        <w:t xml:space="preserve">案例 1：HZSM-5 vs ZSM-5（应合并）</w:t>
      </w:r>
    </w:p>
    <w:p>
      <w:pPr>
        <w:spacing w:after="40" w:line="276"/>
        <w:ind w:left="360"/>
      </w:pPr>
      <w:r>
        <w:rPr>
          <w:rFonts w:ascii="Arial" w:cs="Arial" w:eastAsia="Arial" w:hAnsi="Arial"/>
          <w:sz w:val="20"/>
          <w:szCs w:val="20"/>
          <w:color w:val="999999"/>
        </w:rPr>
        <w:t xml:space="preserve">ZSM-5 和 HZSM-5 本质上是同一骨架（MFI 拓扑），仅质子交换形式不同，属同一催化剂家族。</w:t>
      </w:r>
    </w:p>
    <w:tbl>
      <w:tblPr>
        <w:tblW w:type="dxa" w:w="9360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DF2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原始名称</w:t>
            </w:r>
          </w:p>
        </w:tc>
        <w:tc>
          <w:tcPr>
            <w:tcW w:type="dxa" w:w="3120"/>
            <w:shd w:fill="E8EDF2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优化前</w:t>
            </w:r>
          </w:p>
        </w:tc>
        <w:tc>
          <w:tcPr>
            <w:tcW w:type="dxa" w:w="3120"/>
            <w:shd w:fill="E8EDF2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优化后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ZSM-5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  <w:color w:val="DC2626"/>
              </w:rPr>
              <w:t>ZSM-5 ✗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  <w:color w:val="16A34A"/>
              </w:rPr>
              <w:t>HZSM-5 ✓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HZSM-5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HZSM-5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HZSM-5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NiO/Mo2O3-ZSM-5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  <w:color w:val="DC2626"/>
              </w:rPr>
              <w:t>NiO/Mo2O3/ZSM-5 ✗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  <w:color w:val="16A34A"/>
              </w:rPr>
              <w:t>NiMo/ZSM-5 ✓</w:t>
            </w:r>
          </w:p>
        </w:tc>
      </w:tr>
    </w:tbl>
    <w:p>
      <w:pPr>
        <w:spacing w:after="40" w:line="276"/>
        <w:ind w:left="360"/>
      </w:pPr>
      <w:r>
        <w:rPr>
          <w:rFonts w:ascii="Arial" w:cs="Arial" w:eastAsia="Arial" w:hAnsi="Arial"/>
          <w:sz w:val="20"/>
          <w:szCs w:val="20"/>
          <w:color w:val="16A34A"/>
        </w:rPr>
        <w:t xml:space="preserve">→ 优化后 ZSM-5 已正确合并到 HZSM-5 家族（proton-form 合并规则生效）。</w:t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sz w:val="22"/>
          <w:szCs w:val="22"/>
          <w:color w:val="2E75B6"/>
        </w:rPr>
        <w:t xml:space="preserve">案例 2：Pt(1)/Al2O3、Pt(0.3)/Al2O3、Pt(0.1)/Al2O3（应合并）</w:t>
      </w:r>
    </w:p>
    <w:p>
      <w:pPr>
        <w:spacing w:after="40" w:line="276"/>
        <w:ind w:left="360"/>
      </w:pPr>
      <w:r>
        <w:rPr>
          <w:rFonts w:ascii="Arial" w:cs="Arial" w:eastAsia="Arial" w:hAnsi="Arial"/>
          <w:sz w:val="20"/>
          <w:szCs w:val="20"/>
          <w:color w:val="999999"/>
        </w:rPr>
        <w:t xml:space="preserve">Pt(x)/Al2O3 中括号内数字为负载量（wt%），属于同一催化剂家族的不同变体。CatalystFamily 设计上就是将不同负载量/制备条件的变体合并为同一家族。</w:t>
      </w:r>
    </w:p>
    <w:tbl>
      <w:tblPr>
        <w:tblW w:type="dxa" w:w="9360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DF2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原始名称</w:t>
            </w:r>
          </w:p>
        </w:tc>
        <w:tc>
          <w:tcPr>
            <w:tcW w:type="dxa" w:w="3120"/>
            <w:shd w:fill="E8EDF2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优化前</w:t>
            </w:r>
          </w:p>
        </w:tc>
        <w:tc>
          <w:tcPr>
            <w:tcW w:type="dxa" w:w="3120"/>
            <w:shd w:fill="E8EDF2" w:val="clea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优化后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Pt(10)/Al2O3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Pt/Al2O3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Pt/Al2O3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Pt(1)/Al2O3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Pt/Al2O3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Pt/Al2O3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Pt(0.3)/Al2O3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Pt/Al2O3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Pt/Al2O3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Pt(0.1)/Al2O3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Pt/Al2O3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Pt/Al2O3</w:t>
            </w:r>
          </w:p>
        </w:tc>
      </w:tr>
    </w:tbl>
    <w:p>
      <w:pPr>
        <w:spacing w:after="40" w:line="276"/>
        <w:ind w:left="360"/>
      </w:pPr>
      <w:r>
        <w:rPr>
          <w:rFonts w:ascii="Arial" w:cs="Arial" w:eastAsia="Arial" w:hAnsi="Arial"/>
          <w:sz w:val="20"/>
          <w:szCs w:val="20"/>
          <w:color w:val="16A34A"/>
        </w:rPr>
        <w:t xml:space="preserve">→ 此处优化前后结果一致，Pt(x)/Al2O3 系列一直被正确合并为 Pt/Al2O3。这正是 CatalystFamily 的设计意图：忽略负载量差异，归并为同一材料体系。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[✅ 已修复：Prompt 重写 + Guard A/B + 重新归一化]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Q3: Schema 关系图中圆圈上的圆环含义</w:t>
      </w:r>
    </w:p>
    <w:p>
      <w:pPr>
        <w:pBdr>
          <w:left w:val="single" w:color="2E75B6" w:sz="6" w:space="8"/>
        </w:pBdr>
        <w:spacing w:after="120" w:before="8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Schema关系图中圆圈上的圆环是啥意思？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圆环表示该节点属于“本体层 / 桥接层”而非实例层。具体来说：带圆环的节点（如 OntologyTerm、ReactionTemplate、CatalystFamily）是跨论文的概念节点，它们由多篇论文的实例节点通过 INSTANCE_OF 边汇聚而成；不带圆环的是实例层节点，每个都属于某一篇具体论文。这种双层架构是整个 CataIEG 的核心设计。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[ℹ️ 设计意图说明，无需修改]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Q4: 论文子图显示问题</w:t>
      </w:r>
    </w:p>
    <w:p>
      <w:pPr>
        <w:pBdr>
          <w:left w:val="single" w:color="2E75B6" w:sz="6" w:space="8"/>
        </w:pBdr>
        <w:spacing w:after="120" w:before="8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论文子图显示有问题。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已重新开发了 Case Review 工具（case-review.html），支持按论文逐篇浏览所有节点和边，包含搜索、键盘快捷键切换、按节点类型分组折叠等功能。新增的 MechanisticClaim（粉色标签）和 EvidenceItem（蓝色标签）也已纳入显示。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[✅ 已重新开发 case-review.html]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Q5: 跨文献桥接中蓝色原文的定义与长度</w:t>
      </w:r>
    </w:p>
    <w:p>
      <w:pPr>
        <w:pBdr>
          <w:left w:val="single" w:color="2E75B6" w:sz="6" w:space="8"/>
        </w:pBdr>
        <w:spacing w:after="120" w:before="8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跨文献桥接中的蓝色原文是按什么定义提取的，可以显示得长一点吗？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蓝色原文来自催化剂节点的 name_reported 字段，即论文中报告的催化剂名称。如需更多上下文信息，可以在可视化中增加 aliases、substrate_or_support 等补充字段的展示，或直接通过 Case Review 工具查看完整节点数据。后续可按需优化显示长度。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[⚠️ 待优化：可扩展显示字段]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Q6: 本体共现改为实例级别</w:t>
      </w:r>
    </w:p>
    <w:p>
      <w:pPr>
        <w:pBdr>
          <w:left w:val="single" w:color="2E75B6" w:sz="6" w:space="8"/>
        </w:pBdr>
        <w:spacing w:after="120" w:before="8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本体共现不是在同一论文中出现，而是属于它们的实例在同一论文中确实被共同研究过。例如某文研究了 R1、R2 和 C1、C2，但 C1 只用于 R1，C1 和 R2 的本体标签不应共现。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已完全重写 phase4_bridge.py 中的共现逻辑。现在以每个 (Catalyst, Reaction) 的 TESTED_IN 边为一个“共研上下文”，只在该上下文内部做本体标签两两共现。上下文中纳入的实例节点包括：Catalyst、Reaction、与该对相关的 Procedure、ProcedureStep、CharacterizationRecord、PerformanceDataset、Metric、MechanisticClaim、EvidenceItem。已验证无催化剂的对照组条件不会与催化反应产生虚假共现。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[✅ 已修复：实例级 TESTED_IN 对为共现基础]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Q7: 本体共现只保留特定有向关系</w:t>
      </w:r>
    </w:p>
    <w:p>
      <w:pPr>
        <w:pBdr>
          <w:left w:val="single" w:color="2E75B6" w:sz="6" w:space="8"/>
        </w:pBdr>
        <w:spacing w:after="120" w:before="8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本体共现只要显示特定的关系对，不然 Top 50 里基本被没什么用的连接占据。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已完全替换为白名单制的有向共现对，仅保留以下关系（即预测目标相关的连接）：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reaction_family → material_platform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(LIKELY_USES)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reaction_family → active_site_form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(LIKELY_ASSOCIATED_WITH)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active_site_form / material_platform → property_name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(LIKELY_ASSOCIATED_WITH)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reaction_family / material_platform / active_site_form → step_type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(LIKELY_ASSOCIATED_WITH)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reaction_family / active_site_form / material_platform / property_name → design_mechanism_tag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(LIKELY_SUPPORTS)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当前图中共现边统计：LIKELY_USES 84 条、LIKELY_ASSOCIATED_WITH 861 条、LIKELY_SUPPORTS 637 条，均为实例级计算，带有 witness_paper 和 co_occurrence_count 等可信度字段。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[✅ 已修复：白名单有向对 + 实例级计算]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总结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七个问题中，5 个已完成修复（Q1/Q2/Q4/Q6/Q7），1 个为设计意图说明（Q3），1 个待小幅优化（Q5）。整体图已用 sample_6_task.jsonl 重建，包含 6760 个节点、30607 条边、14 种节点类型、46 种边类型，新增 MechanisticClaim (409) 和 EvidenceItem (705) 两类节点。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2026-04-09T11:40:46.711Z</dcterms:created>
  <dcterms:modified xsi:type="dcterms:W3CDTF">2026-04-09T11:40:46.711Z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