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F4CE" w14:textId="77777777" w:rsidR="00127DD9" w:rsidRPr="005B4BE4" w:rsidRDefault="00000000">
      <w:pPr>
        <w:spacing w:after="20" w:line="240" w:lineRule="auto"/>
        <w:rPr>
          <w:rFonts w:asciiTheme="majorBidi" w:hAnsiTheme="majorBidi" w:cstheme="majorBidi"/>
        </w:rPr>
      </w:pPr>
      <w:r w:rsidRPr="005B4BE4">
        <w:rPr>
          <w:rFonts w:asciiTheme="majorBidi" w:eastAsia="Arial" w:hAnsiTheme="majorBidi" w:cstheme="majorBidi"/>
          <w:b/>
          <w:sz w:val="30"/>
        </w:rPr>
        <w:t>Recommendation: Long AAVE, Short MORPHO</w:t>
      </w:r>
    </w:p>
    <w:p w14:paraId="668B6118" w14:textId="77777777" w:rsidR="00127DD9" w:rsidRPr="005B4BE4" w:rsidRDefault="00000000">
      <w:pPr>
        <w:spacing w:after="120" w:line="240" w:lineRule="auto"/>
        <w:rPr>
          <w:rFonts w:asciiTheme="majorBidi" w:hAnsiTheme="majorBidi" w:cstheme="majorBidi"/>
        </w:rPr>
      </w:pPr>
      <w:r w:rsidRPr="005B4BE4">
        <w:rPr>
          <w:rFonts w:asciiTheme="majorBidi" w:eastAsia="Arial" w:hAnsiTheme="majorBidi" w:cstheme="majorBidi"/>
          <w:sz w:val="24"/>
        </w:rPr>
        <w:t>Investment Memorandum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41"/>
        <w:gridCol w:w="5141"/>
      </w:tblGrid>
      <w:tr w:rsidR="00127DD9" w:rsidRPr="005B4BE4" w14:paraId="787AAEF0" w14:textId="77777777">
        <w:tc>
          <w:tcPr>
            <w:tcW w:w="5141" w:type="dxa"/>
            <w:tcMar>
              <w:top w:w="20" w:type="dxa"/>
              <w:left w:w="0" w:type="dxa"/>
              <w:bottom w:w="20" w:type="dxa"/>
              <w:right w:w="0" w:type="dxa"/>
            </w:tcMar>
          </w:tcPr>
          <w:p w14:paraId="0C18C2E5" w14:textId="77777777" w:rsidR="00127DD9" w:rsidRPr="005B4BE4" w:rsidRDefault="00000000">
            <w:pPr>
              <w:spacing w:after="0" w:line="240" w:lineRule="auto"/>
              <w:rPr>
                <w:rFonts w:asciiTheme="majorBidi" w:hAnsiTheme="majorBidi" w:cstheme="majorBidi"/>
              </w:rPr>
            </w:pPr>
            <w:r w:rsidRPr="005B4BE4">
              <w:rPr>
                <w:rFonts w:asciiTheme="majorBidi" w:hAnsiTheme="majorBidi" w:cstheme="majorBidi"/>
                <w:b/>
                <w:sz w:val="20"/>
              </w:rPr>
              <w:t xml:space="preserve">Prepared by: </w:t>
            </w:r>
            <w:r w:rsidRPr="005B4BE4">
              <w:rPr>
                <w:rFonts w:asciiTheme="majorBidi" w:hAnsiTheme="majorBidi" w:cstheme="majorBidi"/>
                <w:sz w:val="20"/>
              </w:rPr>
              <w:t>Zishan Vaseem</w:t>
            </w:r>
          </w:p>
        </w:tc>
        <w:tc>
          <w:tcPr>
            <w:tcW w:w="5141" w:type="dxa"/>
            <w:tcMar>
              <w:top w:w="20" w:type="dxa"/>
              <w:left w:w="0" w:type="dxa"/>
              <w:bottom w:w="20" w:type="dxa"/>
              <w:right w:w="0" w:type="dxa"/>
            </w:tcMar>
          </w:tcPr>
          <w:p w14:paraId="2CF97142" w14:textId="77777777" w:rsidR="00127DD9" w:rsidRPr="005B4BE4" w:rsidRDefault="00000000">
            <w:pPr>
              <w:spacing w:after="0" w:line="240" w:lineRule="auto"/>
              <w:rPr>
                <w:rFonts w:asciiTheme="majorBidi" w:hAnsiTheme="majorBidi" w:cstheme="majorBidi"/>
              </w:rPr>
            </w:pPr>
            <w:r w:rsidRPr="005B4BE4">
              <w:rPr>
                <w:rFonts w:asciiTheme="majorBidi" w:hAnsiTheme="majorBidi" w:cstheme="majorBidi"/>
                <w:b/>
                <w:sz w:val="20"/>
              </w:rPr>
              <w:t xml:space="preserve">Date: </w:t>
            </w:r>
            <w:r w:rsidRPr="005B4BE4">
              <w:rPr>
                <w:rFonts w:asciiTheme="majorBidi" w:hAnsiTheme="majorBidi" w:cstheme="majorBidi"/>
                <w:sz w:val="20"/>
              </w:rPr>
              <w:t>April 7, 2026</w:t>
            </w:r>
          </w:p>
        </w:tc>
      </w:tr>
      <w:tr w:rsidR="00127DD9" w:rsidRPr="005B4BE4" w14:paraId="4A64EE41" w14:textId="77777777">
        <w:tc>
          <w:tcPr>
            <w:tcW w:w="5141" w:type="dxa"/>
            <w:tcMar>
              <w:top w:w="20" w:type="dxa"/>
              <w:left w:w="0" w:type="dxa"/>
              <w:bottom w:w="20" w:type="dxa"/>
              <w:right w:w="0" w:type="dxa"/>
            </w:tcMar>
          </w:tcPr>
          <w:p w14:paraId="159635B6" w14:textId="679F96A6" w:rsidR="00127DD9" w:rsidRPr="00573C5C" w:rsidRDefault="00000000">
            <w:pPr>
              <w:spacing w:after="0" w:line="240" w:lineRule="auto"/>
              <w:rPr>
                <w:rFonts w:asciiTheme="majorBidi" w:hAnsiTheme="majorBidi" w:cstheme="majorBidi"/>
                <w:sz w:val="20"/>
              </w:rPr>
            </w:pPr>
            <w:r w:rsidRPr="00573C5C">
              <w:rPr>
                <w:rFonts w:asciiTheme="majorBidi" w:hAnsiTheme="majorBidi" w:cstheme="majorBidi"/>
                <w:b/>
                <w:bCs/>
                <w:sz w:val="20"/>
              </w:rPr>
              <w:t>Time horizon</w:t>
            </w:r>
            <w:r w:rsidRPr="00573C5C">
              <w:rPr>
                <w:rFonts w:asciiTheme="majorBidi" w:hAnsiTheme="majorBidi" w:cstheme="majorBidi"/>
                <w:sz w:val="20"/>
              </w:rPr>
              <w:t xml:space="preserve">: </w:t>
            </w:r>
            <w:r w:rsidRPr="005B4BE4">
              <w:rPr>
                <w:rFonts w:asciiTheme="majorBidi" w:hAnsiTheme="majorBidi" w:cstheme="majorBidi"/>
                <w:sz w:val="20"/>
              </w:rPr>
              <w:t>Twelve months</w:t>
            </w:r>
            <w:r w:rsidR="00573C5C">
              <w:rPr>
                <w:rFonts w:asciiTheme="majorBidi" w:hAnsiTheme="majorBidi" w:cstheme="majorBidi"/>
                <w:sz w:val="20"/>
              </w:rPr>
              <w:t xml:space="preserve"> </w:t>
            </w:r>
            <w:r w:rsidR="00573C5C">
              <w:rPr>
                <w:rFonts w:asciiTheme="majorBidi" w:hAnsiTheme="majorBidi" w:cstheme="majorBidi"/>
                <w:sz w:val="20"/>
              </w:rPr>
              <w:br/>
            </w:r>
          </w:p>
        </w:tc>
        <w:tc>
          <w:tcPr>
            <w:tcW w:w="5141" w:type="dxa"/>
            <w:tcMar>
              <w:top w:w="20" w:type="dxa"/>
              <w:left w:w="0" w:type="dxa"/>
              <w:bottom w:w="20" w:type="dxa"/>
              <w:right w:w="0" w:type="dxa"/>
            </w:tcMar>
          </w:tcPr>
          <w:p w14:paraId="3E9738A5" w14:textId="77777777" w:rsidR="00127DD9" w:rsidRPr="005B4BE4" w:rsidRDefault="00000000">
            <w:pPr>
              <w:spacing w:after="0" w:line="240" w:lineRule="auto"/>
              <w:rPr>
                <w:rFonts w:asciiTheme="majorBidi" w:hAnsiTheme="majorBidi" w:cstheme="majorBidi"/>
              </w:rPr>
            </w:pPr>
            <w:r w:rsidRPr="005B4BE4">
              <w:rPr>
                <w:rFonts w:asciiTheme="majorBidi" w:hAnsiTheme="majorBidi" w:cstheme="majorBidi"/>
                <w:b/>
                <w:sz w:val="20"/>
              </w:rPr>
              <w:t xml:space="preserve">Market data: </w:t>
            </w:r>
            <w:r w:rsidRPr="005B4BE4">
              <w:rPr>
                <w:rFonts w:asciiTheme="majorBidi" w:hAnsiTheme="majorBidi" w:cstheme="majorBidi"/>
                <w:sz w:val="20"/>
              </w:rPr>
              <w:t>Late March to early April 2026 spot checks</w:t>
            </w:r>
          </w:p>
        </w:tc>
      </w:tr>
    </w:tbl>
    <w:p w14:paraId="1D150510" w14:textId="77777777" w:rsidR="00127DD9" w:rsidRPr="005B4BE4" w:rsidRDefault="00000000">
      <w:pPr>
        <w:spacing w:before="160" w:after="20" w:line="240" w:lineRule="auto"/>
        <w:rPr>
          <w:rFonts w:asciiTheme="majorBidi" w:hAnsiTheme="majorBidi" w:cstheme="majorBidi"/>
        </w:rPr>
      </w:pPr>
      <w:r w:rsidRPr="005B4BE4">
        <w:rPr>
          <w:rFonts w:asciiTheme="majorBidi" w:eastAsia="Arial" w:hAnsiTheme="majorBidi" w:cstheme="majorBidi"/>
          <w:b/>
          <w:sz w:val="26"/>
        </w:rPr>
        <w:t>Executive Summary</w:t>
      </w:r>
    </w:p>
    <w:p w14:paraId="4A6FFB4C" w14:textId="77777777" w:rsidR="00127DD9" w:rsidRPr="005B4BE4" w:rsidRDefault="00000000">
      <w:pPr>
        <w:spacing w:after="100" w:line="240" w:lineRule="auto"/>
        <w:rPr>
          <w:rFonts w:asciiTheme="majorBidi" w:hAnsiTheme="majorBidi" w:cstheme="majorBidi"/>
        </w:rPr>
      </w:pPr>
      <w:r w:rsidRPr="005B4BE4">
        <w:rPr>
          <w:rFonts w:asciiTheme="majorBidi" w:eastAsia="Arial" w:hAnsiTheme="majorBidi" w:cstheme="majorBidi"/>
          <w:b/>
          <w:sz w:val="24"/>
        </w:rPr>
        <w:t>AAVE and MORPHO</w:t>
      </w:r>
    </w:p>
    <w:tbl>
      <w:tblPr>
        <w:tblStyle w:val="TableGrid"/>
        <w:tblW w:w="10818" w:type="dxa"/>
        <w:tblLayout w:type="fixed"/>
        <w:tblLook w:val="04A0" w:firstRow="1" w:lastRow="0" w:firstColumn="1" w:lastColumn="0" w:noHBand="0" w:noVBand="1"/>
      </w:tblPr>
      <w:tblGrid>
        <w:gridCol w:w="10818"/>
      </w:tblGrid>
      <w:tr w:rsidR="005B4BE4" w:rsidRPr="005B4BE4" w14:paraId="197D46D2" w14:textId="77777777" w:rsidTr="005B4BE4">
        <w:trPr>
          <w:trHeight w:val="2969"/>
        </w:trPr>
        <w:tc>
          <w:tcPr>
            <w:tcW w:w="10818" w:type="dxa"/>
          </w:tcPr>
          <w:p w14:paraId="5F7B4DBC" w14:textId="77777777" w:rsidR="005B4BE4" w:rsidRPr="005B4BE4" w:rsidRDefault="005B4BE4">
            <w:pPr>
              <w:spacing w:line="247" w:lineRule="auto"/>
              <w:rPr>
                <w:rFonts w:asciiTheme="majorBidi" w:hAnsiTheme="majorBidi" w:cstheme="majorBidi"/>
              </w:rPr>
            </w:pPr>
            <w:r w:rsidRPr="005B4BE4">
              <w:rPr>
                <w:rFonts w:asciiTheme="majorBidi" w:hAnsiTheme="majorBidi" w:cstheme="majorBidi"/>
                <w:sz w:val="20"/>
              </w:rPr>
              <w:t>The lending businesses are both credible, so the trade depends on where the economics sit. AAVE already routes part of that activity into protocol revenue, treasury growth, and buybacks. MORPHO has built a strong lending product and a valuable distribution layer, but the token still depends on future governance choices before holders enjoy a comparable claim on protocol economics.</w:t>
            </w:r>
          </w:p>
          <w:p w14:paraId="186215FE" w14:textId="77777777" w:rsidR="005B4BE4" w:rsidRPr="005B4BE4" w:rsidRDefault="005B4BE4">
            <w:pPr>
              <w:spacing w:before="60" w:line="247" w:lineRule="auto"/>
              <w:rPr>
                <w:rFonts w:asciiTheme="majorBidi" w:hAnsiTheme="majorBidi" w:cstheme="majorBidi"/>
              </w:rPr>
            </w:pPr>
            <w:r w:rsidRPr="005B4BE4">
              <w:rPr>
                <w:rFonts w:asciiTheme="majorBidi" w:hAnsiTheme="majorBidi" w:cstheme="majorBidi"/>
                <w:b/>
                <w:sz w:val="20"/>
              </w:rPr>
              <w:t xml:space="preserve">Investment conclusion. </w:t>
            </w:r>
            <w:r w:rsidRPr="005B4BE4">
              <w:rPr>
                <w:rFonts w:asciiTheme="majorBidi" w:hAnsiTheme="majorBidi" w:cstheme="majorBidi"/>
                <w:sz w:val="20"/>
              </w:rPr>
              <w:t>AAVE is the better long because the token already has a visible claim on protocol economics. MORPHO is the better short because the protocol is executing well, but the token still sits one step removed from the economics that make the business attractive.</w:t>
            </w:r>
          </w:p>
          <w:p w14:paraId="05F26BF2" w14:textId="77777777" w:rsidR="005B4BE4" w:rsidRPr="005B4BE4" w:rsidRDefault="005B4BE4">
            <w:pPr>
              <w:spacing w:before="60" w:line="247" w:lineRule="auto"/>
              <w:rPr>
                <w:rFonts w:asciiTheme="majorBidi" w:hAnsiTheme="majorBidi" w:cstheme="majorBidi"/>
              </w:rPr>
            </w:pPr>
            <w:r w:rsidRPr="005B4BE4">
              <w:rPr>
                <w:rFonts w:asciiTheme="majorBidi" w:hAnsiTheme="majorBidi" w:cstheme="majorBidi"/>
                <w:b/>
                <w:sz w:val="20"/>
              </w:rPr>
              <w:t xml:space="preserve">Valuation rationale. </w:t>
            </w:r>
            <w:r w:rsidRPr="005B4BE4">
              <w:rPr>
                <w:rFonts w:asciiTheme="majorBidi" w:hAnsiTheme="majorBidi" w:cstheme="majorBidi"/>
                <w:sz w:val="20"/>
              </w:rPr>
              <w:t>AAVE trades at about 20.0x annualized protocol revenue and 8.5 percent of borrowed balances. MORPHO trades with no protocol revenue, a 37.4 percent ratio of fully diluted valuation to borrowed balances, and a token story that still depends on governance choosing to monetize later.</w:t>
            </w:r>
          </w:p>
          <w:p w14:paraId="4023DF02" w14:textId="77777777" w:rsidR="005B4BE4" w:rsidRPr="005B4BE4" w:rsidRDefault="005B4BE4">
            <w:pPr>
              <w:spacing w:before="60" w:line="247" w:lineRule="auto"/>
              <w:rPr>
                <w:rFonts w:asciiTheme="majorBidi" w:hAnsiTheme="majorBidi" w:cstheme="majorBidi"/>
              </w:rPr>
            </w:pPr>
            <w:r w:rsidRPr="005B4BE4">
              <w:rPr>
                <w:rFonts w:asciiTheme="majorBidi" w:hAnsiTheme="majorBidi" w:cstheme="majorBidi"/>
                <w:b/>
                <w:sz w:val="20"/>
              </w:rPr>
              <w:t xml:space="preserve">Expected return. </w:t>
            </w:r>
            <w:r w:rsidRPr="005B4BE4">
              <w:rPr>
                <w:rFonts w:asciiTheme="majorBidi" w:hAnsiTheme="majorBidi" w:cstheme="majorBidi"/>
                <w:sz w:val="20"/>
              </w:rPr>
              <w:t>Our base case is roughly 33 percent of pair alpha over twelve months. The weighted expected outcome is about 28 percent before financing, borrow costs, and execution slippage.</w:t>
            </w:r>
          </w:p>
          <w:p w14:paraId="332D1023" w14:textId="77777777" w:rsidR="005B4BE4" w:rsidRDefault="005B4BE4">
            <w:pPr>
              <w:spacing w:before="60" w:line="247" w:lineRule="auto"/>
              <w:rPr>
                <w:rFonts w:asciiTheme="majorBidi" w:hAnsiTheme="majorBidi" w:cstheme="majorBidi"/>
                <w:sz w:val="20"/>
              </w:rPr>
            </w:pPr>
            <w:r w:rsidRPr="005B4BE4">
              <w:rPr>
                <w:rFonts w:asciiTheme="majorBidi" w:hAnsiTheme="majorBidi" w:cstheme="majorBidi"/>
                <w:b/>
                <w:sz w:val="20"/>
              </w:rPr>
              <w:t xml:space="preserve">Due diligence focus. </w:t>
            </w:r>
            <w:r w:rsidRPr="005B4BE4">
              <w:rPr>
                <w:rFonts w:asciiTheme="majorBidi" w:hAnsiTheme="majorBidi" w:cstheme="majorBidi"/>
                <w:sz w:val="20"/>
              </w:rPr>
              <w:t>The highest-value work would be on Morpho’s fee-switch probability and V2 timing, Aave’s buyback persistence and revenue mix, and the extent to which Morpho’s distribution growth can outrun the token-capture gap over the next twelve months.</w:t>
            </w:r>
          </w:p>
          <w:p w14:paraId="046D9624" w14:textId="77777777" w:rsidR="005B4BE4" w:rsidRDefault="005B4BE4">
            <w:pPr>
              <w:spacing w:before="60" w:line="247" w:lineRule="auto"/>
              <w:rPr>
                <w:rFonts w:asciiTheme="majorBidi" w:hAnsiTheme="majorBidi" w:cstheme="majorBidi"/>
                <w:sz w:val="20"/>
              </w:rPr>
            </w:pPr>
          </w:p>
          <w:p w14:paraId="6793B25F" w14:textId="77777777" w:rsidR="005B4BE4" w:rsidRPr="005B4BE4" w:rsidRDefault="005B4BE4" w:rsidP="005B4BE4">
            <w:pPr>
              <w:spacing w:after="20"/>
              <w:rPr>
                <w:rFonts w:asciiTheme="majorBidi" w:hAnsiTheme="majorBidi" w:cstheme="majorBidi"/>
              </w:rPr>
            </w:pPr>
            <w:r w:rsidRPr="005B4BE4">
              <w:rPr>
                <w:rFonts w:asciiTheme="majorBidi" w:eastAsia="Arial" w:hAnsiTheme="majorBidi" w:cstheme="majorBidi"/>
                <w:b/>
                <w:color w:val="1F2937"/>
                <w:sz w:val="20"/>
              </w:rPr>
              <w:t>Top five reservations and how we would manage them</w:t>
            </w:r>
          </w:p>
          <w:p w14:paraId="282EE4EB" w14:textId="77777777" w:rsidR="005B4BE4" w:rsidRPr="005B4BE4" w:rsidRDefault="005B4BE4" w:rsidP="005B4BE4">
            <w:pPr>
              <w:pStyle w:val="ListBullet"/>
              <w:rPr>
                <w:rFonts w:asciiTheme="majorBidi" w:hAnsiTheme="majorBidi" w:cstheme="majorBidi"/>
              </w:rPr>
            </w:pPr>
            <w:r w:rsidRPr="005B4BE4">
              <w:rPr>
                <w:rFonts w:asciiTheme="majorBidi" w:hAnsiTheme="majorBidi" w:cstheme="majorBidi"/>
                <w:sz w:val="19"/>
              </w:rPr>
              <w:t>A fee-switch vote could rerate MORPHO. That would trigger an immediate review of the trade.</w:t>
            </w:r>
          </w:p>
          <w:p w14:paraId="2A10CF42" w14:textId="77777777" w:rsidR="005B4BE4" w:rsidRPr="005B4BE4" w:rsidRDefault="005B4BE4" w:rsidP="005B4BE4">
            <w:pPr>
              <w:pStyle w:val="ListBullet"/>
              <w:rPr>
                <w:rFonts w:asciiTheme="majorBidi" w:hAnsiTheme="majorBidi" w:cstheme="majorBidi"/>
              </w:rPr>
            </w:pPr>
            <w:r w:rsidRPr="005B4BE4">
              <w:rPr>
                <w:rFonts w:asciiTheme="majorBidi" w:hAnsiTheme="majorBidi" w:cstheme="majorBidi"/>
                <w:sz w:val="19"/>
              </w:rPr>
              <w:t>Aave’s revenue can soften with weaker borrowing demand. The relative setup helps absorb that risk.</w:t>
            </w:r>
          </w:p>
          <w:p w14:paraId="61EBE02E" w14:textId="77777777" w:rsidR="005B4BE4" w:rsidRPr="005B4BE4" w:rsidRDefault="005B4BE4" w:rsidP="005B4BE4">
            <w:pPr>
              <w:pStyle w:val="ListBullet"/>
              <w:rPr>
                <w:rFonts w:asciiTheme="majorBidi" w:hAnsiTheme="majorBidi" w:cstheme="majorBidi"/>
              </w:rPr>
            </w:pPr>
            <w:r w:rsidRPr="005B4BE4">
              <w:rPr>
                <w:rFonts w:asciiTheme="majorBidi" w:hAnsiTheme="majorBidi" w:cstheme="majorBidi"/>
                <w:sz w:val="19"/>
              </w:rPr>
              <w:t>Morpho has stronger distribution momentum in some channels. Gross exposure should stay modest.</w:t>
            </w:r>
          </w:p>
          <w:p w14:paraId="6BDE1003" w14:textId="77777777" w:rsidR="00543A2A" w:rsidRPr="00543A2A" w:rsidRDefault="005B4BE4" w:rsidP="00543A2A">
            <w:pPr>
              <w:pStyle w:val="ListBullet"/>
              <w:rPr>
                <w:rFonts w:asciiTheme="majorBidi" w:hAnsiTheme="majorBidi" w:cstheme="majorBidi"/>
              </w:rPr>
            </w:pPr>
            <w:r w:rsidRPr="005B4BE4">
              <w:rPr>
                <w:rFonts w:asciiTheme="majorBidi" w:hAnsiTheme="majorBidi" w:cstheme="majorBidi"/>
                <w:sz w:val="19"/>
              </w:rPr>
              <w:t>A protocol or oracle event can overwhelm fundamentals. Position sizing matters more than elegance in that outcome.</w:t>
            </w:r>
          </w:p>
          <w:p w14:paraId="1AB6C87F" w14:textId="41DA3989" w:rsidR="005B4BE4" w:rsidRPr="00543A2A" w:rsidRDefault="005B4BE4" w:rsidP="00543A2A">
            <w:pPr>
              <w:pStyle w:val="ListBullet"/>
              <w:rPr>
                <w:rFonts w:asciiTheme="majorBidi" w:hAnsiTheme="majorBidi" w:cstheme="majorBidi"/>
              </w:rPr>
            </w:pPr>
            <w:r w:rsidRPr="00543A2A">
              <w:rPr>
                <w:rFonts w:asciiTheme="majorBidi" w:hAnsiTheme="majorBidi" w:cstheme="majorBidi"/>
                <w:sz w:val="19"/>
              </w:rPr>
              <w:t>Regulation could hit the entire group. We prefer the protocol with the larger treasury and longer operating history.</w:t>
            </w:r>
            <w:r w:rsidRPr="00543A2A">
              <w:rPr>
                <w:rFonts w:asciiTheme="majorBidi" w:hAnsiTheme="majorBidi" w:cstheme="majorBidi"/>
                <w:sz w:val="19"/>
              </w:rPr>
              <w:br/>
            </w:r>
          </w:p>
          <w:p w14:paraId="783CF293" w14:textId="77777777" w:rsidR="005B4BE4" w:rsidRPr="005B4BE4" w:rsidRDefault="005B4BE4" w:rsidP="005B4BE4">
            <w:pPr>
              <w:spacing w:after="20"/>
              <w:rPr>
                <w:rFonts w:asciiTheme="majorBidi" w:hAnsiTheme="majorBidi" w:cstheme="majorBidi"/>
              </w:rPr>
            </w:pPr>
            <w:r w:rsidRPr="005B4BE4">
              <w:rPr>
                <w:rFonts w:asciiTheme="majorBidi" w:eastAsia="Arial" w:hAnsiTheme="majorBidi" w:cstheme="majorBidi"/>
                <w:b/>
                <w:color w:val="1F2937"/>
                <w:sz w:val="20"/>
              </w:rPr>
              <w:t>Three reasons we are not running the opposite trade</w:t>
            </w:r>
          </w:p>
          <w:p w14:paraId="5532E5EA" w14:textId="77777777" w:rsidR="005B4BE4" w:rsidRPr="005B4BE4" w:rsidRDefault="005B4BE4" w:rsidP="005B4BE4">
            <w:pPr>
              <w:pStyle w:val="ListBullet"/>
              <w:rPr>
                <w:rFonts w:asciiTheme="majorBidi" w:hAnsiTheme="majorBidi" w:cstheme="majorBidi"/>
              </w:rPr>
            </w:pPr>
            <w:r w:rsidRPr="005B4BE4">
              <w:rPr>
                <w:rFonts w:asciiTheme="majorBidi" w:hAnsiTheme="majorBidi" w:cstheme="majorBidi"/>
                <w:sz w:val="19"/>
              </w:rPr>
              <w:t>The opposite trade would short the only token here with meaningful current protocol monetization.</w:t>
            </w:r>
          </w:p>
          <w:p w14:paraId="1CAB2D3C" w14:textId="77777777" w:rsidR="005B4BE4" w:rsidRPr="005B4BE4" w:rsidRDefault="005B4BE4" w:rsidP="005B4BE4">
            <w:pPr>
              <w:pStyle w:val="ListBullet"/>
              <w:rPr>
                <w:rFonts w:asciiTheme="majorBidi" w:hAnsiTheme="majorBidi" w:cstheme="majorBidi"/>
              </w:rPr>
            </w:pPr>
            <w:r w:rsidRPr="005B4BE4">
              <w:rPr>
                <w:rFonts w:asciiTheme="majorBidi" w:hAnsiTheme="majorBidi" w:cstheme="majorBidi"/>
                <w:sz w:val="19"/>
              </w:rPr>
              <w:t>It would go long the token with the larger dilution overhang and the weaker treasury.</w:t>
            </w:r>
          </w:p>
          <w:p w14:paraId="6DF3077F" w14:textId="77777777" w:rsidR="005B4BE4" w:rsidRPr="005B4BE4" w:rsidRDefault="005B4BE4" w:rsidP="005B4BE4">
            <w:pPr>
              <w:pStyle w:val="ListBullet"/>
              <w:rPr>
                <w:rFonts w:asciiTheme="majorBidi" w:hAnsiTheme="majorBidi" w:cstheme="majorBidi"/>
              </w:rPr>
            </w:pPr>
            <w:r w:rsidRPr="005B4BE4">
              <w:rPr>
                <w:rFonts w:asciiTheme="majorBidi" w:hAnsiTheme="majorBidi" w:cstheme="majorBidi"/>
                <w:sz w:val="19"/>
              </w:rPr>
              <w:t>It would ask optionality on future governance to outrun live economics at nearly the same valuation.</w:t>
            </w:r>
          </w:p>
          <w:p w14:paraId="1F7395E4" w14:textId="77777777" w:rsidR="005B4BE4" w:rsidRPr="005B4BE4" w:rsidRDefault="005B4BE4" w:rsidP="005B4BE4">
            <w:pPr>
              <w:rPr>
                <w:rFonts w:asciiTheme="majorBidi" w:hAnsiTheme="majorBidi" w:cstheme="majorBidi"/>
              </w:rPr>
            </w:pPr>
          </w:p>
          <w:p w14:paraId="3B2F1D21" w14:textId="074FE177" w:rsidR="005B4BE4" w:rsidRPr="005B4BE4" w:rsidRDefault="005B4BE4" w:rsidP="005B4BE4">
            <w:pPr>
              <w:spacing w:before="60" w:line="247" w:lineRule="auto"/>
              <w:rPr>
                <w:rFonts w:asciiTheme="majorBidi" w:hAnsiTheme="majorBidi" w:cstheme="majorBidi"/>
              </w:rPr>
            </w:pPr>
          </w:p>
        </w:tc>
      </w:tr>
    </w:tbl>
    <w:p w14:paraId="68D43037" w14:textId="77777777" w:rsidR="005B4BE4" w:rsidRPr="005B4BE4" w:rsidRDefault="005B4BE4" w:rsidP="005B4BE4">
      <w:pPr>
        <w:pBdr>
          <w:bottom w:val="single" w:sz="8" w:space="2" w:color="1F2937"/>
        </w:pBdr>
        <w:spacing w:after="80" w:line="240" w:lineRule="auto"/>
        <w:rPr>
          <w:rFonts w:asciiTheme="majorBidi" w:hAnsiTheme="majorBidi" w:cstheme="majorBidi"/>
        </w:rPr>
      </w:pPr>
    </w:p>
    <w:p w14:paraId="2F4A8B91" w14:textId="77777777" w:rsidR="005B4BE4" w:rsidRPr="005B4BE4" w:rsidRDefault="005B4BE4" w:rsidP="005B4BE4">
      <w:pPr>
        <w:pBdr>
          <w:bottom w:val="single" w:sz="8" w:space="2" w:color="1F2937"/>
        </w:pBdr>
        <w:spacing w:after="80" w:line="240" w:lineRule="auto"/>
        <w:rPr>
          <w:rFonts w:asciiTheme="majorBidi" w:hAnsiTheme="majorBidi" w:cstheme="majorBidi"/>
        </w:rPr>
      </w:pPr>
      <w:r w:rsidRPr="005B4BE4">
        <w:rPr>
          <w:rFonts w:asciiTheme="majorBidi" w:eastAsia="Arial" w:hAnsiTheme="majorBidi" w:cstheme="majorBidi"/>
          <w:b/>
          <w:sz w:val="25"/>
        </w:rPr>
        <w:t>Financial Comparison</w:t>
      </w:r>
    </w:p>
    <w:tbl>
      <w:tblPr>
        <w:tblW w:w="112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2088"/>
        <w:gridCol w:w="2056"/>
        <w:gridCol w:w="2056"/>
        <w:gridCol w:w="2056"/>
        <w:gridCol w:w="2964"/>
      </w:tblGrid>
      <w:tr w:rsidR="005B4BE4" w:rsidRPr="005B4BE4" w14:paraId="4A9F5359" w14:textId="77777777" w:rsidTr="005B4BE4">
        <w:tc>
          <w:tcPr>
            <w:tcW w:w="2088" w:type="dxa"/>
            <w:shd w:val="clear" w:color="auto" w:fill="EAF0F6"/>
            <w:tcMar>
              <w:top w:w="55" w:type="dxa"/>
              <w:left w:w="60" w:type="dxa"/>
              <w:bottom w:w="55" w:type="dxa"/>
              <w:right w:w="60" w:type="dxa"/>
            </w:tcMar>
          </w:tcPr>
          <w:p w14:paraId="59D90E7E" w14:textId="77777777" w:rsidR="005B4BE4" w:rsidRPr="005B4BE4" w:rsidRDefault="005B4BE4" w:rsidP="003D518E">
            <w:pPr>
              <w:spacing w:after="0" w:line="240" w:lineRule="auto"/>
              <w:jc w:val="center"/>
              <w:rPr>
                <w:rFonts w:asciiTheme="majorBidi" w:hAnsiTheme="majorBidi" w:cstheme="majorBidi"/>
              </w:rPr>
            </w:pPr>
            <w:r w:rsidRPr="005B4BE4">
              <w:rPr>
                <w:rFonts w:asciiTheme="majorBidi" w:eastAsia="Arial" w:hAnsiTheme="majorBidi" w:cstheme="majorBidi"/>
                <w:b/>
                <w:color w:val="1F2937"/>
                <w:sz w:val="18"/>
              </w:rPr>
              <w:t>Metric</w:t>
            </w:r>
          </w:p>
        </w:tc>
        <w:tc>
          <w:tcPr>
            <w:tcW w:w="2056" w:type="dxa"/>
            <w:shd w:val="clear" w:color="auto" w:fill="EAF0F6"/>
            <w:tcMar>
              <w:top w:w="55" w:type="dxa"/>
              <w:left w:w="60" w:type="dxa"/>
              <w:bottom w:w="55" w:type="dxa"/>
              <w:right w:w="60" w:type="dxa"/>
            </w:tcMar>
          </w:tcPr>
          <w:p w14:paraId="770DE949" w14:textId="77777777" w:rsidR="005B4BE4" w:rsidRPr="005B4BE4" w:rsidRDefault="005B4BE4" w:rsidP="003D518E">
            <w:pPr>
              <w:spacing w:after="0" w:line="240" w:lineRule="auto"/>
              <w:jc w:val="center"/>
              <w:rPr>
                <w:rFonts w:asciiTheme="majorBidi" w:hAnsiTheme="majorBidi" w:cstheme="majorBidi"/>
              </w:rPr>
            </w:pPr>
            <w:r w:rsidRPr="005B4BE4">
              <w:rPr>
                <w:rFonts w:asciiTheme="majorBidi" w:eastAsia="Arial" w:hAnsiTheme="majorBidi" w:cstheme="majorBidi"/>
                <w:b/>
                <w:color w:val="1F2937"/>
                <w:sz w:val="18"/>
              </w:rPr>
              <w:t>AAVE</w:t>
            </w:r>
          </w:p>
        </w:tc>
        <w:tc>
          <w:tcPr>
            <w:tcW w:w="2056" w:type="dxa"/>
            <w:shd w:val="clear" w:color="auto" w:fill="EAF0F6"/>
            <w:tcMar>
              <w:top w:w="55" w:type="dxa"/>
              <w:left w:w="60" w:type="dxa"/>
              <w:bottom w:w="55" w:type="dxa"/>
              <w:right w:w="60" w:type="dxa"/>
            </w:tcMar>
          </w:tcPr>
          <w:p w14:paraId="6BBB9CD6" w14:textId="77777777" w:rsidR="005B4BE4" w:rsidRPr="005B4BE4" w:rsidRDefault="005B4BE4" w:rsidP="003D518E">
            <w:pPr>
              <w:spacing w:after="0" w:line="240" w:lineRule="auto"/>
              <w:jc w:val="center"/>
              <w:rPr>
                <w:rFonts w:asciiTheme="majorBidi" w:hAnsiTheme="majorBidi" w:cstheme="majorBidi"/>
              </w:rPr>
            </w:pPr>
            <w:r w:rsidRPr="005B4BE4">
              <w:rPr>
                <w:rFonts w:asciiTheme="majorBidi" w:eastAsia="Arial" w:hAnsiTheme="majorBidi" w:cstheme="majorBidi"/>
                <w:b/>
                <w:color w:val="1F2937"/>
                <w:sz w:val="18"/>
              </w:rPr>
              <w:t>MORPHO</w:t>
            </w:r>
          </w:p>
        </w:tc>
        <w:tc>
          <w:tcPr>
            <w:tcW w:w="2056" w:type="dxa"/>
            <w:shd w:val="clear" w:color="auto" w:fill="EAF0F6"/>
            <w:tcMar>
              <w:top w:w="55" w:type="dxa"/>
              <w:left w:w="60" w:type="dxa"/>
              <w:bottom w:w="55" w:type="dxa"/>
              <w:right w:w="60" w:type="dxa"/>
            </w:tcMar>
          </w:tcPr>
          <w:p w14:paraId="177CBF99" w14:textId="77777777" w:rsidR="005B4BE4" w:rsidRPr="005B4BE4" w:rsidRDefault="005B4BE4" w:rsidP="003D518E">
            <w:pPr>
              <w:spacing w:after="0" w:line="240" w:lineRule="auto"/>
              <w:jc w:val="center"/>
              <w:rPr>
                <w:rFonts w:asciiTheme="majorBidi" w:hAnsiTheme="majorBidi" w:cstheme="majorBidi"/>
              </w:rPr>
            </w:pPr>
            <w:r w:rsidRPr="005B4BE4">
              <w:rPr>
                <w:rFonts w:asciiTheme="majorBidi" w:eastAsia="Arial" w:hAnsiTheme="majorBidi" w:cstheme="majorBidi"/>
                <w:b/>
                <w:color w:val="1F2937"/>
                <w:sz w:val="18"/>
              </w:rPr>
              <w:t>Relative view</w:t>
            </w:r>
          </w:p>
        </w:tc>
        <w:tc>
          <w:tcPr>
            <w:tcW w:w="2964" w:type="dxa"/>
            <w:shd w:val="clear" w:color="auto" w:fill="EAF0F6"/>
            <w:tcMar>
              <w:top w:w="55" w:type="dxa"/>
              <w:left w:w="60" w:type="dxa"/>
              <w:bottom w:w="55" w:type="dxa"/>
              <w:right w:w="60" w:type="dxa"/>
            </w:tcMar>
          </w:tcPr>
          <w:p w14:paraId="27CEFBD1" w14:textId="77777777" w:rsidR="005B4BE4" w:rsidRPr="005B4BE4" w:rsidRDefault="005B4BE4" w:rsidP="003D518E">
            <w:pPr>
              <w:spacing w:after="0" w:line="240" w:lineRule="auto"/>
              <w:rPr>
                <w:rFonts w:asciiTheme="majorBidi" w:hAnsiTheme="majorBidi" w:cstheme="majorBidi"/>
              </w:rPr>
            </w:pPr>
            <w:r w:rsidRPr="005B4BE4">
              <w:rPr>
                <w:rFonts w:asciiTheme="majorBidi" w:eastAsia="Arial" w:hAnsiTheme="majorBidi" w:cstheme="majorBidi"/>
                <w:b/>
                <w:color w:val="1F2937"/>
                <w:sz w:val="18"/>
              </w:rPr>
              <w:t>Interpretation</w:t>
            </w:r>
          </w:p>
        </w:tc>
      </w:tr>
      <w:tr w:rsidR="005B4BE4" w:rsidRPr="005B4BE4" w14:paraId="1C3656FE" w14:textId="77777777" w:rsidTr="005B4BE4">
        <w:tc>
          <w:tcPr>
            <w:tcW w:w="2088" w:type="dxa"/>
            <w:tcMar>
              <w:top w:w="55" w:type="dxa"/>
              <w:left w:w="60" w:type="dxa"/>
              <w:bottom w:w="55" w:type="dxa"/>
              <w:right w:w="60" w:type="dxa"/>
            </w:tcMar>
          </w:tcPr>
          <w:p w14:paraId="5D4D4FAD"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Fully diluted valuation</w:t>
            </w:r>
          </w:p>
        </w:tc>
        <w:tc>
          <w:tcPr>
            <w:tcW w:w="2056" w:type="dxa"/>
            <w:tcMar>
              <w:top w:w="55" w:type="dxa"/>
              <w:left w:w="60" w:type="dxa"/>
              <w:bottom w:w="55" w:type="dxa"/>
              <w:right w:w="60" w:type="dxa"/>
            </w:tcMar>
          </w:tcPr>
          <w:p w14:paraId="79F69196"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$1.486bn</w:t>
            </w:r>
          </w:p>
        </w:tc>
        <w:tc>
          <w:tcPr>
            <w:tcW w:w="2056" w:type="dxa"/>
            <w:tcMar>
              <w:top w:w="55" w:type="dxa"/>
              <w:left w:w="60" w:type="dxa"/>
              <w:bottom w:w="55" w:type="dxa"/>
              <w:right w:w="60" w:type="dxa"/>
            </w:tcMar>
          </w:tcPr>
          <w:p w14:paraId="033C1D5C"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$1.590bn</w:t>
            </w:r>
          </w:p>
        </w:tc>
        <w:tc>
          <w:tcPr>
            <w:tcW w:w="2056" w:type="dxa"/>
            <w:tcMar>
              <w:top w:w="55" w:type="dxa"/>
              <w:left w:w="60" w:type="dxa"/>
              <w:bottom w:w="55" w:type="dxa"/>
              <w:right w:w="60" w:type="dxa"/>
            </w:tcMar>
          </w:tcPr>
          <w:p w14:paraId="343EFB42"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0.93x</w:t>
            </w:r>
          </w:p>
        </w:tc>
        <w:tc>
          <w:tcPr>
            <w:tcW w:w="2964" w:type="dxa"/>
            <w:tcMar>
              <w:top w:w="55" w:type="dxa"/>
              <w:left w:w="60" w:type="dxa"/>
              <w:bottom w:w="55" w:type="dxa"/>
              <w:right w:w="60" w:type="dxa"/>
            </w:tcMar>
          </w:tcPr>
          <w:p w14:paraId="6F39EC97"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The starting valuations are close enough to support a clean relative-value comparison.</w:t>
            </w:r>
          </w:p>
        </w:tc>
      </w:tr>
      <w:tr w:rsidR="005B4BE4" w:rsidRPr="005B4BE4" w14:paraId="623EEC17" w14:textId="77777777" w:rsidTr="005B4BE4">
        <w:tc>
          <w:tcPr>
            <w:tcW w:w="2088" w:type="dxa"/>
            <w:tcMar>
              <w:top w:w="55" w:type="dxa"/>
              <w:left w:w="60" w:type="dxa"/>
              <w:bottom w:w="55" w:type="dxa"/>
              <w:right w:w="60" w:type="dxa"/>
            </w:tcMar>
          </w:tcPr>
          <w:p w14:paraId="6BB40498"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Borrowed balances</w:t>
            </w:r>
          </w:p>
        </w:tc>
        <w:tc>
          <w:tcPr>
            <w:tcW w:w="2056" w:type="dxa"/>
            <w:tcMar>
              <w:top w:w="55" w:type="dxa"/>
              <w:left w:w="60" w:type="dxa"/>
              <w:bottom w:w="55" w:type="dxa"/>
              <w:right w:w="60" w:type="dxa"/>
            </w:tcMar>
          </w:tcPr>
          <w:p w14:paraId="74212F81"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$17.398bn</w:t>
            </w:r>
          </w:p>
        </w:tc>
        <w:tc>
          <w:tcPr>
            <w:tcW w:w="2056" w:type="dxa"/>
            <w:tcMar>
              <w:top w:w="55" w:type="dxa"/>
              <w:left w:w="60" w:type="dxa"/>
              <w:bottom w:w="55" w:type="dxa"/>
              <w:right w:w="60" w:type="dxa"/>
            </w:tcMar>
          </w:tcPr>
          <w:p w14:paraId="38286478"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$4.255bn</w:t>
            </w:r>
          </w:p>
        </w:tc>
        <w:tc>
          <w:tcPr>
            <w:tcW w:w="2056" w:type="dxa"/>
            <w:tcMar>
              <w:top w:w="55" w:type="dxa"/>
              <w:left w:w="60" w:type="dxa"/>
              <w:bottom w:w="55" w:type="dxa"/>
              <w:right w:w="60" w:type="dxa"/>
            </w:tcMar>
          </w:tcPr>
          <w:p w14:paraId="00A32C22"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4.09x</w:t>
            </w:r>
          </w:p>
        </w:tc>
        <w:tc>
          <w:tcPr>
            <w:tcW w:w="2964" w:type="dxa"/>
            <w:tcMar>
              <w:top w:w="55" w:type="dxa"/>
              <w:left w:w="60" w:type="dxa"/>
              <w:bottom w:w="55" w:type="dxa"/>
              <w:right w:w="60" w:type="dxa"/>
            </w:tcMar>
          </w:tcPr>
          <w:p w14:paraId="0EE0D458"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 has the larger credit book and the stronger base of recurring lending activity.</w:t>
            </w:r>
          </w:p>
        </w:tc>
      </w:tr>
      <w:tr w:rsidR="005B4BE4" w:rsidRPr="005B4BE4" w14:paraId="31E935A6" w14:textId="77777777" w:rsidTr="005B4BE4">
        <w:tc>
          <w:tcPr>
            <w:tcW w:w="2088" w:type="dxa"/>
            <w:tcMar>
              <w:top w:w="55" w:type="dxa"/>
              <w:left w:w="60" w:type="dxa"/>
              <w:bottom w:w="55" w:type="dxa"/>
              <w:right w:w="60" w:type="dxa"/>
            </w:tcMar>
          </w:tcPr>
          <w:p w14:paraId="22F41592"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Annualized fees</w:t>
            </w:r>
          </w:p>
        </w:tc>
        <w:tc>
          <w:tcPr>
            <w:tcW w:w="2056" w:type="dxa"/>
            <w:tcMar>
              <w:top w:w="55" w:type="dxa"/>
              <w:left w:w="60" w:type="dxa"/>
              <w:bottom w:w="55" w:type="dxa"/>
              <w:right w:w="60" w:type="dxa"/>
            </w:tcMar>
          </w:tcPr>
          <w:p w14:paraId="08EC50CB"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$556.64m</w:t>
            </w:r>
          </w:p>
        </w:tc>
        <w:tc>
          <w:tcPr>
            <w:tcW w:w="2056" w:type="dxa"/>
            <w:tcMar>
              <w:top w:w="55" w:type="dxa"/>
              <w:left w:w="60" w:type="dxa"/>
              <w:bottom w:w="55" w:type="dxa"/>
              <w:right w:w="60" w:type="dxa"/>
            </w:tcMar>
          </w:tcPr>
          <w:p w14:paraId="6CE42B8C"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$136.60m</w:t>
            </w:r>
          </w:p>
        </w:tc>
        <w:tc>
          <w:tcPr>
            <w:tcW w:w="2056" w:type="dxa"/>
            <w:tcMar>
              <w:top w:w="55" w:type="dxa"/>
              <w:left w:w="60" w:type="dxa"/>
              <w:bottom w:w="55" w:type="dxa"/>
              <w:right w:w="60" w:type="dxa"/>
            </w:tcMar>
          </w:tcPr>
          <w:p w14:paraId="086795B8"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4.08x</w:t>
            </w:r>
          </w:p>
        </w:tc>
        <w:tc>
          <w:tcPr>
            <w:tcW w:w="2964" w:type="dxa"/>
            <w:tcMar>
              <w:top w:w="55" w:type="dxa"/>
              <w:left w:w="60" w:type="dxa"/>
              <w:bottom w:w="55" w:type="dxa"/>
              <w:right w:w="60" w:type="dxa"/>
            </w:tcMar>
          </w:tcPr>
          <w:p w14:paraId="08E77110"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Both protocols generate meaningful activity, but only one routes part of it to the protocol.</w:t>
            </w:r>
          </w:p>
        </w:tc>
      </w:tr>
      <w:tr w:rsidR="005B4BE4" w:rsidRPr="005B4BE4" w14:paraId="550A2F07" w14:textId="77777777" w:rsidTr="005B4BE4">
        <w:tc>
          <w:tcPr>
            <w:tcW w:w="2088" w:type="dxa"/>
            <w:tcMar>
              <w:top w:w="55" w:type="dxa"/>
              <w:left w:w="60" w:type="dxa"/>
              <w:bottom w:w="55" w:type="dxa"/>
              <w:right w:w="60" w:type="dxa"/>
            </w:tcMar>
          </w:tcPr>
          <w:p w14:paraId="5ABBFC0B" w14:textId="52CC8981"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Annualized</w:t>
            </w:r>
            <w:r w:rsidR="00C062B0">
              <w:rPr>
                <w:rFonts w:asciiTheme="majorBidi" w:hAnsiTheme="majorBidi" w:cstheme="majorBidi"/>
                <w:b/>
                <w:sz w:val="18"/>
              </w:rPr>
              <w:t xml:space="preserve"> retained</w:t>
            </w:r>
            <w:r w:rsidRPr="005B4BE4">
              <w:rPr>
                <w:rFonts w:asciiTheme="majorBidi" w:hAnsiTheme="majorBidi" w:cstheme="majorBidi"/>
                <w:b/>
                <w:sz w:val="18"/>
              </w:rPr>
              <w:t xml:space="preserve"> protocol revenue</w:t>
            </w:r>
          </w:p>
        </w:tc>
        <w:tc>
          <w:tcPr>
            <w:tcW w:w="2056" w:type="dxa"/>
            <w:tcMar>
              <w:top w:w="55" w:type="dxa"/>
              <w:left w:w="60" w:type="dxa"/>
              <w:bottom w:w="55" w:type="dxa"/>
              <w:right w:w="60" w:type="dxa"/>
            </w:tcMar>
          </w:tcPr>
          <w:p w14:paraId="78C10A8F"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$74.23m</w:t>
            </w:r>
          </w:p>
        </w:tc>
        <w:tc>
          <w:tcPr>
            <w:tcW w:w="2056" w:type="dxa"/>
            <w:tcMar>
              <w:top w:w="55" w:type="dxa"/>
              <w:left w:w="60" w:type="dxa"/>
              <w:bottom w:w="55" w:type="dxa"/>
              <w:right w:w="60" w:type="dxa"/>
            </w:tcMar>
          </w:tcPr>
          <w:p w14:paraId="20BF049D"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$0</w:t>
            </w:r>
          </w:p>
        </w:tc>
        <w:tc>
          <w:tcPr>
            <w:tcW w:w="2056" w:type="dxa"/>
            <w:tcMar>
              <w:top w:w="55" w:type="dxa"/>
              <w:left w:w="60" w:type="dxa"/>
              <w:bottom w:w="55" w:type="dxa"/>
              <w:right w:w="60" w:type="dxa"/>
            </w:tcMar>
          </w:tcPr>
          <w:p w14:paraId="5B20CDD4"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n.m.</w:t>
            </w:r>
          </w:p>
        </w:tc>
        <w:tc>
          <w:tcPr>
            <w:tcW w:w="2964" w:type="dxa"/>
            <w:tcMar>
              <w:top w:w="55" w:type="dxa"/>
              <w:left w:w="60" w:type="dxa"/>
              <w:bottom w:w="55" w:type="dxa"/>
              <w:right w:w="60" w:type="dxa"/>
            </w:tcMar>
          </w:tcPr>
          <w:p w14:paraId="14853335"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This is the most important line in the memo.</w:t>
            </w:r>
          </w:p>
        </w:tc>
      </w:tr>
      <w:tr w:rsidR="005B4BE4" w:rsidRPr="005B4BE4" w14:paraId="5F8240BC" w14:textId="77777777" w:rsidTr="005B4BE4">
        <w:tc>
          <w:tcPr>
            <w:tcW w:w="2088" w:type="dxa"/>
            <w:tcMar>
              <w:top w:w="55" w:type="dxa"/>
              <w:left w:w="60" w:type="dxa"/>
              <w:bottom w:w="55" w:type="dxa"/>
              <w:right w:w="60" w:type="dxa"/>
            </w:tcMar>
          </w:tcPr>
          <w:p w14:paraId="02BAF0EB"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lastRenderedPageBreak/>
              <w:t>Treasury value</w:t>
            </w:r>
          </w:p>
        </w:tc>
        <w:tc>
          <w:tcPr>
            <w:tcW w:w="2056" w:type="dxa"/>
            <w:tcMar>
              <w:top w:w="55" w:type="dxa"/>
              <w:left w:w="60" w:type="dxa"/>
              <w:bottom w:w="55" w:type="dxa"/>
              <w:right w:w="60" w:type="dxa"/>
            </w:tcMar>
          </w:tcPr>
          <w:p w14:paraId="58B924E3"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$84.99m</w:t>
            </w:r>
          </w:p>
        </w:tc>
        <w:tc>
          <w:tcPr>
            <w:tcW w:w="2056" w:type="dxa"/>
            <w:tcMar>
              <w:top w:w="55" w:type="dxa"/>
              <w:left w:w="60" w:type="dxa"/>
              <w:bottom w:w="55" w:type="dxa"/>
              <w:right w:w="60" w:type="dxa"/>
            </w:tcMar>
          </w:tcPr>
          <w:p w14:paraId="51C8F72D"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$30.73m</w:t>
            </w:r>
          </w:p>
        </w:tc>
        <w:tc>
          <w:tcPr>
            <w:tcW w:w="2056" w:type="dxa"/>
            <w:tcMar>
              <w:top w:w="55" w:type="dxa"/>
              <w:left w:w="60" w:type="dxa"/>
              <w:bottom w:w="55" w:type="dxa"/>
              <w:right w:w="60" w:type="dxa"/>
            </w:tcMar>
          </w:tcPr>
          <w:p w14:paraId="25BF5A9B"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2.77x</w:t>
            </w:r>
          </w:p>
        </w:tc>
        <w:tc>
          <w:tcPr>
            <w:tcW w:w="2964" w:type="dxa"/>
            <w:tcMar>
              <w:top w:w="55" w:type="dxa"/>
              <w:left w:w="60" w:type="dxa"/>
              <w:bottom w:w="55" w:type="dxa"/>
              <w:right w:w="60" w:type="dxa"/>
            </w:tcMar>
          </w:tcPr>
          <w:p w14:paraId="3903BD4F"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Aave’s balance sheet is larger and more flexible.</w:t>
            </w:r>
          </w:p>
        </w:tc>
      </w:tr>
      <w:tr w:rsidR="005B4BE4" w:rsidRPr="005B4BE4" w14:paraId="2F71DD7D" w14:textId="77777777" w:rsidTr="005B4BE4">
        <w:tc>
          <w:tcPr>
            <w:tcW w:w="2088" w:type="dxa"/>
            <w:tcMar>
              <w:top w:w="55" w:type="dxa"/>
              <w:left w:w="60" w:type="dxa"/>
              <w:bottom w:w="55" w:type="dxa"/>
              <w:right w:w="60" w:type="dxa"/>
            </w:tcMar>
          </w:tcPr>
          <w:p w14:paraId="22FA5F9D"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Stablecoins in treasury</w:t>
            </w:r>
          </w:p>
        </w:tc>
        <w:tc>
          <w:tcPr>
            <w:tcW w:w="2056" w:type="dxa"/>
            <w:tcMar>
              <w:top w:w="55" w:type="dxa"/>
              <w:left w:w="60" w:type="dxa"/>
              <w:bottom w:w="55" w:type="dxa"/>
              <w:right w:w="60" w:type="dxa"/>
            </w:tcMar>
          </w:tcPr>
          <w:p w14:paraId="7A32D26A"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$36.69m</w:t>
            </w:r>
          </w:p>
        </w:tc>
        <w:tc>
          <w:tcPr>
            <w:tcW w:w="2056" w:type="dxa"/>
            <w:tcMar>
              <w:top w:w="55" w:type="dxa"/>
              <w:left w:w="60" w:type="dxa"/>
              <w:bottom w:w="55" w:type="dxa"/>
              <w:right w:w="60" w:type="dxa"/>
            </w:tcMar>
          </w:tcPr>
          <w:p w14:paraId="0ABF182F"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de minimis</w:t>
            </w:r>
          </w:p>
        </w:tc>
        <w:tc>
          <w:tcPr>
            <w:tcW w:w="2056" w:type="dxa"/>
            <w:tcMar>
              <w:top w:w="55" w:type="dxa"/>
              <w:left w:w="60" w:type="dxa"/>
              <w:bottom w:w="55" w:type="dxa"/>
              <w:right w:w="60" w:type="dxa"/>
            </w:tcMar>
          </w:tcPr>
          <w:p w14:paraId="600F774C"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n.m.</w:t>
            </w:r>
          </w:p>
        </w:tc>
        <w:tc>
          <w:tcPr>
            <w:tcW w:w="2964" w:type="dxa"/>
            <w:tcMar>
              <w:top w:w="55" w:type="dxa"/>
              <w:left w:w="60" w:type="dxa"/>
              <w:bottom w:w="55" w:type="dxa"/>
              <w:right w:w="60" w:type="dxa"/>
            </w:tcMar>
          </w:tcPr>
          <w:p w14:paraId="4C608F9A"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Aave’s treasury quality is materially stronger.</w:t>
            </w:r>
          </w:p>
        </w:tc>
      </w:tr>
      <w:tr w:rsidR="005B4BE4" w:rsidRPr="005B4BE4" w14:paraId="21714515" w14:textId="77777777" w:rsidTr="005B4BE4">
        <w:tc>
          <w:tcPr>
            <w:tcW w:w="2088" w:type="dxa"/>
            <w:tcMar>
              <w:top w:w="55" w:type="dxa"/>
              <w:left w:w="60" w:type="dxa"/>
              <w:bottom w:w="55" w:type="dxa"/>
              <w:right w:w="60" w:type="dxa"/>
            </w:tcMar>
          </w:tcPr>
          <w:p w14:paraId="3E4AD662"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Outstanding fully diluted value</w:t>
            </w:r>
          </w:p>
        </w:tc>
        <w:tc>
          <w:tcPr>
            <w:tcW w:w="2056" w:type="dxa"/>
            <w:tcMar>
              <w:top w:w="55" w:type="dxa"/>
              <w:left w:w="60" w:type="dxa"/>
              <w:bottom w:w="55" w:type="dxa"/>
              <w:right w:w="60" w:type="dxa"/>
            </w:tcMar>
          </w:tcPr>
          <w:p w14:paraId="580F3C80"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$1.369bn</w:t>
            </w:r>
          </w:p>
        </w:tc>
        <w:tc>
          <w:tcPr>
            <w:tcW w:w="2056" w:type="dxa"/>
            <w:tcMar>
              <w:top w:w="55" w:type="dxa"/>
              <w:left w:w="60" w:type="dxa"/>
              <w:bottom w:w="55" w:type="dxa"/>
              <w:right w:w="60" w:type="dxa"/>
            </w:tcMar>
          </w:tcPr>
          <w:p w14:paraId="5B90DE9A"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$798.87m</w:t>
            </w:r>
          </w:p>
        </w:tc>
        <w:tc>
          <w:tcPr>
            <w:tcW w:w="2056" w:type="dxa"/>
            <w:tcMar>
              <w:top w:w="55" w:type="dxa"/>
              <w:left w:w="60" w:type="dxa"/>
              <w:bottom w:w="55" w:type="dxa"/>
              <w:right w:w="60" w:type="dxa"/>
            </w:tcMar>
          </w:tcPr>
          <w:p w14:paraId="5FB8AD8F"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1.71x</w:t>
            </w:r>
          </w:p>
        </w:tc>
        <w:tc>
          <w:tcPr>
            <w:tcW w:w="2964" w:type="dxa"/>
            <w:tcMar>
              <w:top w:w="55" w:type="dxa"/>
              <w:left w:w="60" w:type="dxa"/>
              <w:bottom w:w="55" w:type="dxa"/>
              <w:right w:w="60" w:type="dxa"/>
            </w:tcMar>
          </w:tcPr>
          <w:p w14:paraId="4AE72B34"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Morpho still carries a larger path from current float to full dilution.</w:t>
            </w:r>
          </w:p>
        </w:tc>
      </w:tr>
    </w:tbl>
    <w:p w14:paraId="1173EC48" w14:textId="79141F84" w:rsidR="005B4BE4" w:rsidRPr="007D197C" w:rsidRDefault="005B4BE4" w:rsidP="007D197C">
      <w:pPr>
        <w:pStyle w:val="NormalWeb"/>
        <w:rPr>
          <w:i/>
          <w:iCs/>
          <w:sz w:val="18"/>
          <w:szCs w:val="18"/>
        </w:rPr>
      </w:pPr>
      <w:r w:rsidRPr="005B4BE4">
        <w:rPr>
          <w:rFonts w:asciiTheme="majorBidi" w:hAnsiTheme="majorBidi" w:cstheme="majorBidi"/>
          <w:b/>
          <w:sz w:val="21"/>
        </w:rPr>
        <w:t xml:space="preserve">What matters in the numbers. </w:t>
      </w:r>
      <w:r w:rsidRPr="005B4BE4">
        <w:rPr>
          <w:rFonts w:asciiTheme="majorBidi" w:hAnsiTheme="majorBidi" w:cstheme="majorBidi"/>
          <w:sz w:val="21"/>
        </w:rPr>
        <w:t>Morpho has enough activity to prove product-market fit; that is not the issue. The problem is that activity is not yet reaching token holders in a way that justifies parity with Aave’s valuation.</w:t>
      </w:r>
      <w:r w:rsidR="007D197C">
        <w:rPr>
          <w:rStyle w:val="Emphasis"/>
          <w:sz w:val="18"/>
          <w:szCs w:val="18"/>
        </w:rPr>
        <w:br/>
      </w:r>
      <w:r w:rsidR="007D197C">
        <w:rPr>
          <w:rStyle w:val="Emphasis"/>
          <w:sz w:val="18"/>
          <w:szCs w:val="18"/>
        </w:rPr>
        <w:br/>
      </w:r>
      <w:r w:rsidR="007D197C" w:rsidRPr="007D197C">
        <w:rPr>
          <w:rStyle w:val="Emphasis"/>
          <w:sz w:val="18"/>
          <w:szCs w:val="18"/>
        </w:rPr>
        <w:t>Sources:</w:t>
      </w:r>
      <w:r w:rsidR="007D197C">
        <w:rPr>
          <w:rStyle w:val="Emphasis"/>
          <w:sz w:val="18"/>
          <w:szCs w:val="18"/>
        </w:rPr>
        <w:t xml:space="preserve"> </w:t>
      </w:r>
      <w:proofErr w:type="spellStart"/>
      <w:r w:rsidR="007D197C" w:rsidRPr="007D197C">
        <w:rPr>
          <w:rStyle w:val="Emphasis"/>
          <w:sz w:val="18"/>
          <w:szCs w:val="18"/>
        </w:rPr>
        <w:t>DeFiLlama</w:t>
      </w:r>
      <w:proofErr w:type="spellEnd"/>
      <w:r w:rsidR="007D197C" w:rsidRPr="007D197C">
        <w:rPr>
          <w:rStyle w:val="Emphasis"/>
          <w:sz w:val="18"/>
          <w:szCs w:val="18"/>
        </w:rPr>
        <w:t xml:space="preserve"> protocol pages for Aave and Morpho for fully diluted valuation, borrowed balances, annualized fees, treasury value, and treasury composition; Morpho governance and token documentation for float and vesting context.</w:t>
      </w:r>
    </w:p>
    <w:p w14:paraId="1EBE1A24" w14:textId="77777777" w:rsidR="005B4BE4" w:rsidRPr="005B4BE4" w:rsidRDefault="005B4BE4" w:rsidP="005B4BE4">
      <w:pPr>
        <w:pBdr>
          <w:bottom w:val="single" w:sz="8" w:space="2" w:color="1F2937"/>
        </w:pBdr>
        <w:spacing w:after="80" w:line="240" w:lineRule="auto"/>
        <w:rPr>
          <w:rFonts w:asciiTheme="majorBidi" w:hAnsiTheme="majorBidi" w:cstheme="majorBidi"/>
        </w:rPr>
      </w:pPr>
      <w:r w:rsidRPr="005B4BE4">
        <w:rPr>
          <w:rFonts w:asciiTheme="majorBidi" w:eastAsia="Arial" w:hAnsiTheme="majorBidi" w:cstheme="majorBidi"/>
          <w:b/>
          <w:sz w:val="25"/>
        </w:rPr>
        <w:t>Fee Structure and Token Value Accrual</w:t>
      </w:r>
    </w:p>
    <w:tbl>
      <w:tblPr>
        <w:tblW w:w="1032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3427"/>
        <w:gridCol w:w="4032"/>
        <w:gridCol w:w="2861"/>
      </w:tblGrid>
      <w:tr w:rsidR="005B4BE4" w:rsidRPr="005B4BE4" w14:paraId="4F0888ED" w14:textId="77777777" w:rsidTr="007D197C">
        <w:tc>
          <w:tcPr>
            <w:tcW w:w="3427" w:type="dxa"/>
            <w:shd w:val="clear" w:color="auto" w:fill="EAF0F6"/>
            <w:tcMar>
              <w:top w:w="55" w:type="dxa"/>
              <w:left w:w="60" w:type="dxa"/>
              <w:bottom w:w="55" w:type="dxa"/>
              <w:right w:w="60" w:type="dxa"/>
            </w:tcMar>
          </w:tcPr>
          <w:p w14:paraId="7DFD9989"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Area</w:t>
            </w:r>
          </w:p>
        </w:tc>
        <w:tc>
          <w:tcPr>
            <w:tcW w:w="4032" w:type="dxa"/>
            <w:shd w:val="clear" w:color="auto" w:fill="EAF0F6"/>
            <w:tcMar>
              <w:top w:w="55" w:type="dxa"/>
              <w:left w:w="60" w:type="dxa"/>
              <w:bottom w:w="55" w:type="dxa"/>
              <w:right w:w="60" w:type="dxa"/>
            </w:tcMar>
          </w:tcPr>
          <w:p w14:paraId="04F82166"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AAVE</w:t>
            </w:r>
          </w:p>
        </w:tc>
        <w:tc>
          <w:tcPr>
            <w:tcW w:w="2861" w:type="dxa"/>
            <w:shd w:val="clear" w:color="auto" w:fill="EAF0F6"/>
            <w:tcMar>
              <w:top w:w="55" w:type="dxa"/>
              <w:left w:w="60" w:type="dxa"/>
              <w:bottom w:w="55" w:type="dxa"/>
              <w:right w:w="60" w:type="dxa"/>
            </w:tcMar>
          </w:tcPr>
          <w:p w14:paraId="3E25E680"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MORPHO</w:t>
            </w:r>
          </w:p>
        </w:tc>
      </w:tr>
      <w:tr w:rsidR="005B4BE4" w:rsidRPr="005B4BE4" w14:paraId="16BD75C1" w14:textId="77777777" w:rsidTr="007D197C">
        <w:tc>
          <w:tcPr>
            <w:tcW w:w="3427" w:type="dxa"/>
            <w:tcMar>
              <w:top w:w="55" w:type="dxa"/>
              <w:left w:w="60" w:type="dxa"/>
              <w:bottom w:w="55" w:type="dxa"/>
              <w:right w:w="60" w:type="dxa"/>
            </w:tcMar>
          </w:tcPr>
          <w:p w14:paraId="1579D06E"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Borrower economics</w:t>
            </w:r>
          </w:p>
        </w:tc>
        <w:tc>
          <w:tcPr>
            <w:tcW w:w="4032" w:type="dxa"/>
            <w:tcMar>
              <w:top w:w="55" w:type="dxa"/>
              <w:left w:w="60" w:type="dxa"/>
              <w:bottom w:w="55" w:type="dxa"/>
              <w:right w:w="60" w:type="dxa"/>
            </w:tcMar>
          </w:tcPr>
          <w:p w14:paraId="7D3DC7C0"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 uses reserve factors and related treasury mechanics to route part of borrower interest to the protocol.</w:t>
            </w:r>
          </w:p>
        </w:tc>
        <w:tc>
          <w:tcPr>
            <w:tcW w:w="2861" w:type="dxa"/>
            <w:tcMar>
              <w:top w:w="55" w:type="dxa"/>
              <w:left w:w="60" w:type="dxa"/>
              <w:bottom w:w="55" w:type="dxa"/>
              <w:right w:w="60" w:type="dxa"/>
            </w:tcMar>
          </w:tcPr>
          <w:p w14:paraId="46250F01"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Borrowers pay interest into isolated markets, but the fee switch is currently off, so the protocol does not take a live cut.</w:t>
            </w:r>
          </w:p>
        </w:tc>
      </w:tr>
      <w:tr w:rsidR="005B4BE4" w:rsidRPr="005B4BE4" w14:paraId="2C38C292" w14:textId="77777777" w:rsidTr="007D197C">
        <w:tc>
          <w:tcPr>
            <w:tcW w:w="3427" w:type="dxa"/>
            <w:tcMar>
              <w:top w:w="55" w:type="dxa"/>
              <w:left w:w="60" w:type="dxa"/>
              <w:bottom w:w="55" w:type="dxa"/>
              <w:right w:w="60" w:type="dxa"/>
            </w:tcMar>
          </w:tcPr>
          <w:p w14:paraId="7D5B1F29"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Where the economics sit today</w:t>
            </w:r>
          </w:p>
        </w:tc>
        <w:tc>
          <w:tcPr>
            <w:tcW w:w="4032" w:type="dxa"/>
            <w:tcMar>
              <w:top w:w="55" w:type="dxa"/>
              <w:left w:w="60" w:type="dxa"/>
              <w:bottom w:w="55" w:type="dxa"/>
              <w:right w:w="60" w:type="dxa"/>
            </w:tcMar>
          </w:tcPr>
          <w:p w14:paraId="2BC774FC"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Revenue reaches the DAO, strengthens the treasury, and supports buybacks.</w:t>
            </w:r>
          </w:p>
        </w:tc>
        <w:tc>
          <w:tcPr>
            <w:tcW w:w="2861" w:type="dxa"/>
            <w:tcMar>
              <w:top w:w="55" w:type="dxa"/>
              <w:left w:w="60" w:type="dxa"/>
              <w:bottom w:w="55" w:type="dxa"/>
              <w:right w:w="60" w:type="dxa"/>
            </w:tcMar>
          </w:tcPr>
          <w:p w14:paraId="1DDFC296"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Much of the economics sit with curators, distributors, and lenders at the market and vault layer.</w:t>
            </w:r>
          </w:p>
        </w:tc>
      </w:tr>
      <w:tr w:rsidR="005B4BE4" w:rsidRPr="005B4BE4" w14:paraId="7234E03B" w14:textId="77777777" w:rsidTr="007D197C">
        <w:tc>
          <w:tcPr>
            <w:tcW w:w="3427" w:type="dxa"/>
            <w:tcMar>
              <w:top w:w="55" w:type="dxa"/>
              <w:left w:w="60" w:type="dxa"/>
              <w:bottom w:w="55" w:type="dxa"/>
              <w:right w:w="60" w:type="dxa"/>
            </w:tcMar>
          </w:tcPr>
          <w:p w14:paraId="188D18DC"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Token-holder claim today</w:t>
            </w:r>
          </w:p>
        </w:tc>
        <w:tc>
          <w:tcPr>
            <w:tcW w:w="4032" w:type="dxa"/>
            <w:tcMar>
              <w:top w:w="55" w:type="dxa"/>
              <w:left w:w="60" w:type="dxa"/>
              <w:bottom w:w="55" w:type="dxa"/>
              <w:right w:w="60" w:type="dxa"/>
            </w:tcMar>
          </w:tcPr>
          <w:p w14:paraId="77FF5DC6"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Indirect, but visible and already operating.</w:t>
            </w:r>
          </w:p>
        </w:tc>
        <w:tc>
          <w:tcPr>
            <w:tcW w:w="2861" w:type="dxa"/>
            <w:tcMar>
              <w:top w:w="55" w:type="dxa"/>
              <w:left w:w="60" w:type="dxa"/>
              <w:bottom w:w="55" w:type="dxa"/>
              <w:right w:w="60" w:type="dxa"/>
            </w:tcMar>
          </w:tcPr>
          <w:p w14:paraId="1ABD7B6E"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Mostly an option on future governance choices rather than a current economic claim.</w:t>
            </w:r>
          </w:p>
        </w:tc>
      </w:tr>
      <w:tr w:rsidR="005B4BE4" w:rsidRPr="005B4BE4" w14:paraId="481408DD" w14:textId="77777777" w:rsidTr="007D197C">
        <w:tc>
          <w:tcPr>
            <w:tcW w:w="3427" w:type="dxa"/>
            <w:tcMar>
              <w:top w:w="55" w:type="dxa"/>
              <w:left w:w="60" w:type="dxa"/>
              <w:bottom w:w="55" w:type="dxa"/>
              <w:right w:w="60" w:type="dxa"/>
            </w:tcMar>
          </w:tcPr>
          <w:p w14:paraId="718B3D41"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Likely catalyst that changes the picture</w:t>
            </w:r>
          </w:p>
        </w:tc>
        <w:tc>
          <w:tcPr>
            <w:tcW w:w="4032" w:type="dxa"/>
            <w:tcMar>
              <w:top w:w="55" w:type="dxa"/>
              <w:left w:w="60" w:type="dxa"/>
              <w:bottom w:w="55" w:type="dxa"/>
              <w:right w:w="60" w:type="dxa"/>
            </w:tcMar>
          </w:tcPr>
          <w:p w14:paraId="05B9D031"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Further monetization through buybacks, GHO, branded products, and a broader DAO revenue base.</w:t>
            </w:r>
          </w:p>
        </w:tc>
        <w:tc>
          <w:tcPr>
            <w:tcW w:w="2861" w:type="dxa"/>
            <w:tcMar>
              <w:top w:w="55" w:type="dxa"/>
              <w:left w:w="60" w:type="dxa"/>
              <w:bottom w:w="55" w:type="dxa"/>
              <w:right w:w="60" w:type="dxa"/>
            </w:tcMar>
          </w:tcPr>
          <w:p w14:paraId="447498BB"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 fee-switch activation, a redesigned token-accrual framework, or a V2 structure that improves monetization.</w:t>
            </w:r>
          </w:p>
        </w:tc>
      </w:tr>
    </w:tbl>
    <w:p w14:paraId="2802B16B" w14:textId="57C7D63D" w:rsidR="007D197C" w:rsidRPr="007D197C" w:rsidRDefault="007D197C" w:rsidP="007D197C">
      <w:pPr>
        <w:spacing w:before="100" w:after="40" w:line="240" w:lineRule="auto"/>
        <w:rPr>
          <w:rFonts w:asciiTheme="majorBidi" w:eastAsia="Arial" w:hAnsiTheme="majorBidi" w:cstheme="majorBidi"/>
          <w:bCs/>
          <w:sz w:val="18"/>
          <w:szCs w:val="18"/>
        </w:rPr>
      </w:pPr>
      <w:r w:rsidRPr="007D197C">
        <w:rPr>
          <w:rFonts w:asciiTheme="majorBidi" w:eastAsia="Arial" w:hAnsiTheme="majorBidi" w:cstheme="majorBidi"/>
          <w:bCs/>
          <w:i/>
          <w:iCs/>
          <w:sz w:val="18"/>
          <w:szCs w:val="18"/>
        </w:rPr>
        <w:t>Sources: Aave</w:t>
      </w:r>
      <w:r w:rsidRPr="007D197C">
        <w:rPr>
          <w:rFonts w:asciiTheme="majorBidi" w:eastAsia="Arial" w:hAnsiTheme="majorBidi" w:cstheme="majorBidi"/>
          <w:bCs/>
          <w:i/>
          <w:iCs/>
          <w:sz w:val="18"/>
          <w:szCs w:val="18"/>
        </w:rPr>
        <w:t xml:space="preserve"> documentation for reserve-factor and protocol mechanics; Aave governance materials for buybacks and </w:t>
      </w:r>
      <w:proofErr w:type="spellStart"/>
      <w:r w:rsidRPr="007D197C">
        <w:rPr>
          <w:rFonts w:asciiTheme="majorBidi" w:eastAsia="Arial" w:hAnsiTheme="majorBidi" w:cstheme="majorBidi"/>
          <w:bCs/>
          <w:i/>
          <w:iCs/>
          <w:sz w:val="18"/>
          <w:szCs w:val="18"/>
        </w:rPr>
        <w:t>Aavenomics</w:t>
      </w:r>
      <w:proofErr w:type="spellEnd"/>
      <w:r w:rsidRPr="007D197C">
        <w:rPr>
          <w:rFonts w:asciiTheme="majorBidi" w:eastAsia="Arial" w:hAnsiTheme="majorBidi" w:cstheme="majorBidi"/>
          <w:bCs/>
          <w:i/>
          <w:iCs/>
          <w:sz w:val="18"/>
          <w:szCs w:val="18"/>
        </w:rPr>
        <w:t xml:space="preserve"> implementation; Morpho governance and yield-fee documentation for fee-switch powers and the current location of vault-level economics.</w:t>
      </w:r>
    </w:p>
    <w:p w14:paraId="09A150C8" w14:textId="3D96A940" w:rsidR="00545966" w:rsidRPr="005B4BE4" w:rsidRDefault="007D197C" w:rsidP="00545966">
      <w:pPr>
        <w:spacing w:before="100" w:after="40" w:line="240" w:lineRule="auto"/>
        <w:rPr>
          <w:rFonts w:asciiTheme="majorBidi" w:hAnsiTheme="majorBidi" w:cstheme="majorBidi"/>
        </w:rPr>
      </w:pPr>
      <w:r>
        <w:rPr>
          <w:rFonts w:asciiTheme="majorBidi" w:eastAsia="Arial" w:hAnsiTheme="majorBidi" w:cstheme="majorBidi"/>
          <w:b/>
        </w:rPr>
        <w:br/>
      </w:r>
      <w:r w:rsidR="00545966" w:rsidRPr="005B4BE4">
        <w:rPr>
          <w:rFonts w:asciiTheme="majorBidi" w:eastAsia="Arial" w:hAnsiTheme="majorBidi" w:cstheme="majorBidi"/>
          <w:b/>
        </w:rPr>
        <w:t>Valuation bridge exhibit</w:t>
      </w:r>
    </w:p>
    <w:tbl>
      <w:tblPr>
        <w:tblW w:w="0" w:type="auto"/>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6552"/>
        <w:gridCol w:w="3768"/>
      </w:tblGrid>
      <w:tr w:rsidR="00545966" w:rsidRPr="005B4BE4" w14:paraId="6931235A" w14:textId="77777777" w:rsidTr="003D518E">
        <w:tc>
          <w:tcPr>
            <w:tcW w:w="6552" w:type="dxa"/>
            <w:shd w:val="clear" w:color="auto" w:fill="EAF0F6"/>
            <w:tcMar>
              <w:top w:w="55" w:type="dxa"/>
              <w:left w:w="60" w:type="dxa"/>
              <w:bottom w:w="55" w:type="dxa"/>
              <w:right w:w="60" w:type="dxa"/>
            </w:tcMar>
          </w:tcPr>
          <w:p w14:paraId="0CA4C5E0" w14:textId="77777777" w:rsidR="00545966" w:rsidRPr="005B4BE4" w:rsidRDefault="00545966" w:rsidP="003D518E">
            <w:pPr>
              <w:rPr>
                <w:rFonts w:asciiTheme="majorBidi" w:hAnsiTheme="majorBidi" w:cstheme="majorBidi"/>
              </w:rPr>
            </w:pPr>
            <w:r w:rsidRPr="005B4BE4">
              <w:rPr>
                <w:rFonts w:asciiTheme="majorBidi" w:eastAsia="Arial" w:hAnsiTheme="majorBidi" w:cstheme="majorBidi"/>
                <w:b/>
                <w:color w:val="1F2937"/>
                <w:sz w:val="18"/>
              </w:rPr>
              <w:t>Item</w:t>
            </w:r>
          </w:p>
        </w:tc>
        <w:tc>
          <w:tcPr>
            <w:tcW w:w="3768" w:type="dxa"/>
            <w:shd w:val="clear" w:color="auto" w:fill="EAF0F6"/>
            <w:tcMar>
              <w:top w:w="55" w:type="dxa"/>
              <w:left w:w="60" w:type="dxa"/>
              <w:bottom w:w="55" w:type="dxa"/>
              <w:right w:w="60" w:type="dxa"/>
            </w:tcMar>
          </w:tcPr>
          <w:p w14:paraId="2847E536" w14:textId="77777777" w:rsidR="00545966" w:rsidRPr="005B4BE4" w:rsidRDefault="00545966" w:rsidP="003D518E">
            <w:pPr>
              <w:jc w:val="center"/>
              <w:rPr>
                <w:rFonts w:asciiTheme="majorBidi" w:hAnsiTheme="majorBidi" w:cstheme="majorBidi"/>
              </w:rPr>
            </w:pPr>
            <w:r w:rsidRPr="005B4BE4">
              <w:rPr>
                <w:rFonts w:asciiTheme="majorBidi" w:eastAsia="Arial" w:hAnsiTheme="majorBidi" w:cstheme="majorBidi"/>
                <w:b/>
                <w:color w:val="1F2937"/>
                <w:sz w:val="18"/>
              </w:rPr>
              <w:t>Value</w:t>
            </w:r>
          </w:p>
        </w:tc>
      </w:tr>
      <w:tr w:rsidR="00545966" w:rsidRPr="005B4BE4" w14:paraId="51111251" w14:textId="77777777" w:rsidTr="003D518E">
        <w:tc>
          <w:tcPr>
            <w:tcW w:w="6552" w:type="dxa"/>
            <w:tcMar>
              <w:top w:w="55" w:type="dxa"/>
              <w:left w:w="60" w:type="dxa"/>
              <w:bottom w:w="55" w:type="dxa"/>
              <w:right w:w="60" w:type="dxa"/>
            </w:tcMar>
          </w:tcPr>
          <w:p w14:paraId="1D2632A0" w14:textId="77777777" w:rsidR="00545966" w:rsidRPr="005B4BE4" w:rsidRDefault="00545966" w:rsidP="003D518E">
            <w:pPr>
              <w:spacing w:after="0" w:line="245" w:lineRule="auto"/>
              <w:rPr>
                <w:rFonts w:asciiTheme="majorBidi" w:hAnsiTheme="majorBidi" w:cstheme="majorBidi"/>
              </w:rPr>
            </w:pPr>
            <w:r w:rsidRPr="005B4BE4">
              <w:rPr>
                <w:rFonts w:asciiTheme="majorBidi" w:hAnsiTheme="majorBidi" w:cstheme="majorBidi"/>
                <w:b/>
                <w:sz w:val="18"/>
              </w:rPr>
              <w:t>Aave fully diluted valuation to protocol revenue multiple</w:t>
            </w:r>
          </w:p>
        </w:tc>
        <w:tc>
          <w:tcPr>
            <w:tcW w:w="3768" w:type="dxa"/>
            <w:tcMar>
              <w:top w:w="55" w:type="dxa"/>
              <w:left w:w="60" w:type="dxa"/>
              <w:bottom w:w="55" w:type="dxa"/>
              <w:right w:w="60" w:type="dxa"/>
            </w:tcMar>
          </w:tcPr>
          <w:p w14:paraId="5D70F26C" w14:textId="77777777" w:rsidR="00545966" w:rsidRPr="005B4BE4" w:rsidRDefault="00545966" w:rsidP="003D518E">
            <w:pPr>
              <w:spacing w:after="0" w:line="245" w:lineRule="auto"/>
              <w:jc w:val="center"/>
              <w:rPr>
                <w:rFonts w:asciiTheme="majorBidi" w:hAnsiTheme="majorBidi" w:cstheme="majorBidi"/>
              </w:rPr>
            </w:pPr>
            <w:r w:rsidRPr="005B4BE4">
              <w:rPr>
                <w:rFonts w:asciiTheme="majorBidi" w:hAnsiTheme="majorBidi" w:cstheme="majorBidi"/>
                <w:sz w:val="18"/>
              </w:rPr>
              <w:t>20.0x</w:t>
            </w:r>
          </w:p>
        </w:tc>
      </w:tr>
      <w:tr w:rsidR="00545966" w:rsidRPr="005B4BE4" w14:paraId="45607786" w14:textId="77777777" w:rsidTr="003D518E">
        <w:tc>
          <w:tcPr>
            <w:tcW w:w="6552" w:type="dxa"/>
            <w:tcMar>
              <w:top w:w="55" w:type="dxa"/>
              <w:left w:w="60" w:type="dxa"/>
              <w:bottom w:w="55" w:type="dxa"/>
              <w:right w:w="60" w:type="dxa"/>
            </w:tcMar>
          </w:tcPr>
          <w:p w14:paraId="16F89BA6" w14:textId="3264111E" w:rsidR="00545966" w:rsidRPr="005B4BE4" w:rsidRDefault="00545966" w:rsidP="003D518E">
            <w:pPr>
              <w:spacing w:after="0" w:line="245" w:lineRule="auto"/>
              <w:rPr>
                <w:rFonts w:asciiTheme="majorBidi" w:hAnsiTheme="majorBidi" w:cstheme="majorBidi"/>
              </w:rPr>
            </w:pPr>
            <w:r w:rsidRPr="005B4BE4">
              <w:rPr>
                <w:rFonts w:asciiTheme="majorBidi" w:hAnsiTheme="majorBidi" w:cstheme="majorBidi"/>
                <w:b/>
                <w:sz w:val="18"/>
              </w:rPr>
              <w:t xml:space="preserve">Morpho current annualized </w:t>
            </w:r>
            <w:r w:rsidR="007D197C">
              <w:rPr>
                <w:rFonts w:asciiTheme="majorBidi" w:hAnsiTheme="majorBidi" w:cstheme="majorBidi"/>
                <w:b/>
                <w:sz w:val="18"/>
              </w:rPr>
              <w:t xml:space="preserve">retained </w:t>
            </w:r>
            <w:r w:rsidRPr="005B4BE4">
              <w:rPr>
                <w:rFonts w:asciiTheme="majorBidi" w:hAnsiTheme="majorBidi" w:cstheme="majorBidi"/>
                <w:b/>
                <w:sz w:val="18"/>
              </w:rPr>
              <w:t>protocol revenue</w:t>
            </w:r>
          </w:p>
        </w:tc>
        <w:tc>
          <w:tcPr>
            <w:tcW w:w="3768" w:type="dxa"/>
            <w:tcMar>
              <w:top w:w="55" w:type="dxa"/>
              <w:left w:w="60" w:type="dxa"/>
              <w:bottom w:w="55" w:type="dxa"/>
              <w:right w:w="60" w:type="dxa"/>
            </w:tcMar>
          </w:tcPr>
          <w:p w14:paraId="5A77EA32" w14:textId="77777777" w:rsidR="00545966" w:rsidRPr="005B4BE4" w:rsidRDefault="00545966" w:rsidP="003D518E">
            <w:pPr>
              <w:spacing w:after="0" w:line="245" w:lineRule="auto"/>
              <w:jc w:val="center"/>
              <w:rPr>
                <w:rFonts w:asciiTheme="majorBidi" w:hAnsiTheme="majorBidi" w:cstheme="majorBidi"/>
              </w:rPr>
            </w:pPr>
            <w:r w:rsidRPr="005B4BE4">
              <w:rPr>
                <w:rFonts w:asciiTheme="majorBidi" w:hAnsiTheme="majorBidi" w:cstheme="majorBidi"/>
                <w:sz w:val="18"/>
              </w:rPr>
              <w:t>$0</w:t>
            </w:r>
          </w:p>
        </w:tc>
      </w:tr>
      <w:tr w:rsidR="00545966" w:rsidRPr="005B4BE4" w14:paraId="45A63582" w14:textId="77777777" w:rsidTr="003D518E">
        <w:tc>
          <w:tcPr>
            <w:tcW w:w="6552" w:type="dxa"/>
            <w:tcMar>
              <w:top w:w="55" w:type="dxa"/>
              <w:left w:w="60" w:type="dxa"/>
              <w:bottom w:w="55" w:type="dxa"/>
              <w:right w:w="60" w:type="dxa"/>
            </w:tcMar>
          </w:tcPr>
          <w:p w14:paraId="20D63715" w14:textId="77777777" w:rsidR="00545966" w:rsidRPr="005B4BE4" w:rsidRDefault="00545966" w:rsidP="003D518E">
            <w:pPr>
              <w:spacing w:after="0" w:line="245" w:lineRule="auto"/>
              <w:rPr>
                <w:rFonts w:asciiTheme="majorBidi" w:hAnsiTheme="majorBidi" w:cstheme="majorBidi"/>
              </w:rPr>
            </w:pPr>
            <w:r w:rsidRPr="005B4BE4">
              <w:rPr>
                <w:rFonts w:asciiTheme="majorBidi" w:hAnsiTheme="majorBidi" w:cstheme="majorBidi"/>
                <w:b/>
                <w:sz w:val="18"/>
              </w:rPr>
              <w:t>Morpho revenue needed at Aave’s multiple</w:t>
            </w:r>
          </w:p>
        </w:tc>
        <w:tc>
          <w:tcPr>
            <w:tcW w:w="3768" w:type="dxa"/>
            <w:tcMar>
              <w:top w:w="55" w:type="dxa"/>
              <w:left w:w="60" w:type="dxa"/>
              <w:bottom w:w="55" w:type="dxa"/>
              <w:right w:w="60" w:type="dxa"/>
            </w:tcMar>
          </w:tcPr>
          <w:p w14:paraId="550BED94" w14:textId="77777777" w:rsidR="00545966" w:rsidRPr="005B4BE4" w:rsidRDefault="00545966" w:rsidP="003D518E">
            <w:pPr>
              <w:spacing w:after="0" w:line="245" w:lineRule="auto"/>
              <w:jc w:val="center"/>
              <w:rPr>
                <w:rFonts w:asciiTheme="majorBidi" w:hAnsiTheme="majorBidi" w:cstheme="majorBidi"/>
              </w:rPr>
            </w:pPr>
            <w:r w:rsidRPr="005B4BE4">
              <w:rPr>
                <w:rFonts w:asciiTheme="majorBidi" w:hAnsiTheme="majorBidi" w:cstheme="majorBidi"/>
                <w:sz w:val="18"/>
              </w:rPr>
              <w:t>$79.4m</w:t>
            </w:r>
          </w:p>
        </w:tc>
      </w:tr>
      <w:tr w:rsidR="00545966" w:rsidRPr="005B4BE4" w14:paraId="37D15F33" w14:textId="77777777" w:rsidTr="003D518E">
        <w:tc>
          <w:tcPr>
            <w:tcW w:w="6552" w:type="dxa"/>
            <w:tcMar>
              <w:top w:w="55" w:type="dxa"/>
              <w:left w:w="60" w:type="dxa"/>
              <w:bottom w:w="55" w:type="dxa"/>
              <w:right w:w="60" w:type="dxa"/>
            </w:tcMar>
          </w:tcPr>
          <w:p w14:paraId="145FA7E7" w14:textId="77777777" w:rsidR="00545966" w:rsidRPr="005B4BE4" w:rsidRDefault="00545966" w:rsidP="003D518E">
            <w:pPr>
              <w:spacing w:after="0" w:line="245" w:lineRule="auto"/>
              <w:rPr>
                <w:rFonts w:asciiTheme="majorBidi" w:hAnsiTheme="majorBidi" w:cstheme="majorBidi"/>
              </w:rPr>
            </w:pPr>
            <w:r w:rsidRPr="005B4BE4">
              <w:rPr>
                <w:rFonts w:asciiTheme="majorBidi" w:hAnsiTheme="majorBidi" w:cstheme="majorBidi"/>
                <w:b/>
                <w:sz w:val="18"/>
              </w:rPr>
              <w:t>Morpho current annualized gross fees</w:t>
            </w:r>
          </w:p>
        </w:tc>
        <w:tc>
          <w:tcPr>
            <w:tcW w:w="3768" w:type="dxa"/>
            <w:tcMar>
              <w:top w:w="55" w:type="dxa"/>
              <w:left w:w="60" w:type="dxa"/>
              <w:bottom w:w="55" w:type="dxa"/>
              <w:right w:w="60" w:type="dxa"/>
            </w:tcMar>
          </w:tcPr>
          <w:p w14:paraId="34B8FD12" w14:textId="77777777" w:rsidR="00545966" w:rsidRPr="005B4BE4" w:rsidRDefault="00545966" w:rsidP="003D518E">
            <w:pPr>
              <w:spacing w:after="0" w:line="245" w:lineRule="auto"/>
              <w:jc w:val="center"/>
              <w:rPr>
                <w:rFonts w:asciiTheme="majorBidi" w:hAnsiTheme="majorBidi" w:cstheme="majorBidi"/>
              </w:rPr>
            </w:pPr>
            <w:r w:rsidRPr="005B4BE4">
              <w:rPr>
                <w:rFonts w:asciiTheme="majorBidi" w:hAnsiTheme="majorBidi" w:cstheme="majorBidi"/>
                <w:sz w:val="18"/>
              </w:rPr>
              <w:t>$136.6m</w:t>
            </w:r>
          </w:p>
        </w:tc>
      </w:tr>
      <w:tr w:rsidR="00545966" w:rsidRPr="005B4BE4" w14:paraId="0BAE928E" w14:textId="77777777" w:rsidTr="003D518E">
        <w:tc>
          <w:tcPr>
            <w:tcW w:w="6552" w:type="dxa"/>
            <w:tcMar>
              <w:top w:w="55" w:type="dxa"/>
              <w:left w:w="60" w:type="dxa"/>
              <w:bottom w:w="55" w:type="dxa"/>
              <w:right w:w="60" w:type="dxa"/>
            </w:tcMar>
          </w:tcPr>
          <w:p w14:paraId="763E0230" w14:textId="77777777" w:rsidR="00545966" w:rsidRPr="005B4BE4" w:rsidRDefault="00545966" w:rsidP="003D518E">
            <w:pPr>
              <w:spacing w:after="0" w:line="245" w:lineRule="auto"/>
              <w:rPr>
                <w:rFonts w:asciiTheme="majorBidi" w:hAnsiTheme="majorBidi" w:cstheme="majorBidi"/>
              </w:rPr>
            </w:pPr>
            <w:r w:rsidRPr="005B4BE4">
              <w:rPr>
                <w:rFonts w:asciiTheme="majorBidi" w:hAnsiTheme="majorBidi" w:cstheme="majorBidi"/>
                <w:b/>
                <w:sz w:val="18"/>
              </w:rPr>
              <w:t>Implied take rate needed on current fees</w:t>
            </w:r>
          </w:p>
        </w:tc>
        <w:tc>
          <w:tcPr>
            <w:tcW w:w="3768" w:type="dxa"/>
            <w:tcMar>
              <w:top w:w="55" w:type="dxa"/>
              <w:left w:w="60" w:type="dxa"/>
              <w:bottom w:w="55" w:type="dxa"/>
              <w:right w:w="60" w:type="dxa"/>
            </w:tcMar>
          </w:tcPr>
          <w:p w14:paraId="43E6E366" w14:textId="77777777" w:rsidR="00545966" w:rsidRPr="005B4BE4" w:rsidRDefault="00545966" w:rsidP="003D518E">
            <w:pPr>
              <w:spacing w:after="0" w:line="245" w:lineRule="auto"/>
              <w:jc w:val="center"/>
              <w:rPr>
                <w:rFonts w:asciiTheme="majorBidi" w:hAnsiTheme="majorBidi" w:cstheme="majorBidi"/>
              </w:rPr>
            </w:pPr>
            <w:r w:rsidRPr="005B4BE4">
              <w:rPr>
                <w:rFonts w:asciiTheme="majorBidi" w:hAnsiTheme="majorBidi" w:cstheme="majorBidi"/>
                <w:sz w:val="18"/>
              </w:rPr>
              <w:t>58.1%</w:t>
            </w:r>
          </w:p>
        </w:tc>
      </w:tr>
      <w:tr w:rsidR="00545966" w:rsidRPr="005B4BE4" w14:paraId="49597134" w14:textId="77777777" w:rsidTr="003D518E">
        <w:tc>
          <w:tcPr>
            <w:tcW w:w="6552" w:type="dxa"/>
            <w:tcMar>
              <w:top w:w="55" w:type="dxa"/>
              <w:left w:w="60" w:type="dxa"/>
              <w:bottom w:w="55" w:type="dxa"/>
              <w:right w:w="60" w:type="dxa"/>
            </w:tcMar>
          </w:tcPr>
          <w:p w14:paraId="4339048A" w14:textId="77777777" w:rsidR="00545966" w:rsidRPr="005B4BE4" w:rsidRDefault="00545966" w:rsidP="003D518E">
            <w:pPr>
              <w:spacing w:after="0" w:line="245" w:lineRule="auto"/>
              <w:rPr>
                <w:rFonts w:asciiTheme="majorBidi" w:hAnsiTheme="majorBidi" w:cstheme="majorBidi"/>
              </w:rPr>
            </w:pPr>
            <w:r w:rsidRPr="005B4BE4">
              <w:rPr>
                <w:rFonts w:asciiTheme="majorBidi" w:hAnsiTheme="majorBidi" w:cstheme="majorBidi"/>
                <w:b/>
                <w:sz w:val="18"/>
              </w:rPr>
              <w:t>Documented Morpho fee-switch cap</w:t>
            </w:r>
          </w:p>
        </w:tc>
        <w:tc>
          <w:tcPr>
            <w:tcW w:w="3768" w:type="dxa"/>
            <w:tcMar>
              <w:top w:w="55" w:type="dxa"/>
              <w:left w:w="60" w:type="dxa"/>
              <w:bottom w:w="55" w:type="dxa"/>
              <w:right w:w="60" w:type="dxa"/>
            </w:tcMar>
          </w:tcPr>
          <w:p w14:paraId="7D6FE963" w14:textId="77777777" w:rsidR="00545966" w:rsidRPr="005B4BE4" w:rsidRDefault="00545966" w:rsidP="003D518E">
            <w:pPr>
              <w:spacing w:after="0" w:line="245" w:lineRule="auto"/>
              <w:jc w:val="center"/>
              <w:rPr>
                <w:rFonts w:asciiTheme="majorBidi" w:hAnsiTheme="majorBidi" w:cstheme="majorBidi"/>
              </w:rPr>
            </w:pPr>
            <w:r w:rsidRPr="005B4BE4">
              <w:rPr>
                <w:rFonts w:asciiTheme="majorBidi" w:hAnsiTheme="majorBidi" w:cstheme="majorBidi"/>
                <w:sz w:val="18"/>
              </w:rPr>
              <w:t>25%</w:t>
            </w:r>
          </w:p>
        </w:tc>
      </w:tr>
    </w:tbl>
    <w:p w14:paraId="2BDAF2CC" w14:textId="46550D86" w:rsidR="00545966" w:rsidRDefault="00545966" w:rsidP="00545966">
      <w:pPr>
        <w:spacing w:before="80" w:after="120" w:line="259" w:lineRule="auto"/>
        <w:rPr>
          <w:rFonts w:asciiTheme="majorBidi" w:hAnsiTheme="majorBidi" w:cstheme="majorBidi"/>
        </w:rPr>
      </w:pPr>
      <w:r w:rsidRPr="005B4BE4">
        <w:rPr>
          <w:rFonts w:asciiTheme="majorBidi" w:hAnsiTheme="majorBidi" w:cstheme="majorBidi"/>
        </w:rPr>
        <w:t xml:space="preserve">This exhibit does not prove </w:t>
      </w:r>
      <w:r>
        <w:rPr>
          <w:rFonts w:asciiTheme="majorBidi" w:hAnsiTheme="majorBidi" w:cstheme="majorBidi"/>
        </w:rPr>
        <w:t xml:space="preserve">that </w:t>
      </w:r>
      <w:r w:rsidRPr="005B4BE4">
        <w:rPr>
          <w:rFonts w:asciiTheme="majorBidi" w:hAnsiTheme="majorBidi" w:cstheme="majorBidi"/>
        </w:rPr>
        <w:t xml:space="preserve">Morpho is overvalued in an absolute sense; it does show how much of the current valuation rests on monetization that has yet </w:t>
      </w:r>
      <w:r>
        <w:rPr>
          <w:rFonts w:asciiTheme="majorBidi" w:hAnsiTheme="majorBidi" w:cstheme="majorBidi"/>
        </w:rPr>
        <w:t>to materialize</w:t>
      </w:r>
      <w:r w:rsidRPr="005B4BE4">
        <w:rPr>
          <w:rFonts w:asciiTheme="majorBidi" w:hAnsiTheme="majorBidi" w:cstheme="majorBidi"/>
        </w:rPr>
        <w:t>.</w:t>
      </w:r>
    </w:p>
    <w:p w14:paraId="1218B07B" w14:textId="5EC19E91" w:rsidR="007D197C" w:rsidRPr="007D197C" w:rsidRDefault="007D197C" w:rsidP="007D197C">
      <w:pPr>
        <w:spacing w:before="80" w:after="120" w:line="259" w:lineRule="auto"/>
        <w:rPr>
          <w:rFonts w:asciiTheme="majorBidi" w:hAnsiTheme="majorBidi" w:cstheme="majorBidi"/>
          <w:sz w:val="18"/>
          <w:szCs w:val="18"/>
        </w:rPr>
      </w:pPr>
      <w:r w:rsidRPr="007D197C">
        <w:rPr>
          <w:rFonts w:asciiTheme="majorBidi" w:hAnsiTheme="majorBidi" w:cstheme="majorBidi"/>
          <w:i/>
          <w:iCs/>
          <w:sz w:val="18"/>
          <w:szCs w:val="18"/>
        </w:rPr>
        <w:t xml:space="preserve">Sources: </w:t>
      </w:r>
      <w:proofErr w:type="spellStart"/>
      <w:r w:rsidRPr="007D197C">
        <w:rPr>
          <w:rFonts w:asciiTheme="majorBidi" w:hAnsiTheme="majorBidi" w:cstheme="majorBidi"/>
          <w:i/>
          <w:iCs/>
          <w:sz w:val="18"/>
          <w:szCs w:val="18"/>
        </w:rPr>
        <w:t>DeFiLlama</w:t>
      </w:r>
      <w:proofErr w:type="spellEnd"/>
      <w:r w:rsidRPr="007D197C">
        <w:rPr>
          <w:rFonts w:asciiTheme="majorBidi" w:hAnsiTheme="majorBidi" w:cstheme="majorBidi"/>
          <w:i/>
          <w:iCs/>
          <w:sz w:val="18"/>
          <w:szCs w:val="18"/>
        </w:rPr>
        <w:t xml:space="preserve"> protocol pages for Aave and Morpho; Morpho governance documentation for the documented fee-switch cap. Multiples and implied take-rate calculations are </w:t>
      </w:r>
      <w:r>
        <w:rPr>
          <w:rFonts w:asciiTheme="majorBidi" w:hAnsiTheme="majorBidi" w:cstheme="majorBidi"/>
          <w:i/>
          <w:iCs/>
          <w:sz w:val="18"/>
          <w:szCs w:val="18"/>
        </w:rPr>
        <w:t>the author's</w:t>
      </w:r>
      <w:r w:rsidRPr="007D197C">
        <w:rPr>
          <w:rFonts w:asciiTheme="majorBidi" w:hAnsiTheme="majorBidi" w:cstheme="majorBidi"/>
          <w:i/>
          <w:iCs/>
          <w:sz w:val="18"/>
          <w:szCs w:val="18"/>
        </w:rPr>
        <w:t xml:space="preserve"> estimates.</w:t>
      </w:r>
    </w:p>
    <w:p w14:paraId="4BDB82B4" w14:textId="77777777" w:rsidR="005B4BE4" w:rsidRPr="005B4BE4" w:rsidRDefault="005B4BE4" w:rsidP="005B4BE4">
      <w:pPr>
        <w:pBdr>
          <w:bottom w:val="single" w:sz="8" w:space="2" w:color="1F2937"/>
        </w:pBdr>
        <w:spacing w:after="80" w:line="240" w:lineRule="auto"/>
        <w:rPr>
          <w:rFonts w:asciiTheme="majorBidi" w:hAnsiTheme="majorBidi" w:cstheme="majorBidi"/>
        </w:rPr>
      </w:pPr>
      <w:r w:rsidRPr="005B4BE4">
        <w:rPr>
          <w:rFonts w:asciiTheme="majorBidi" w:eastAsia="Arial" w:hAnsiTheme="majorBidi" w:cstheme="majorBidi"/>
          <w:b/>
          <w:sz w:val="25"/>
        </w:rPr>
        <w:t>Trade Thesis, Comparable Framing, and Scenarios</w:t>
      </w:r>
    </w:p>
    <w:p w14:paraId="3F320031" w14:textId="77777777" w:rsidR="005B4BE4" w:rsidRPr="005B4BE4" w:rsidRDefault="005B4BE4" w:rsidP="005B4BE4">
      <w:pPr>
        <w:spacing w:after="80" w:line="259" w:lineRule="auto"/>
        <w:rPr>
          <w:rFonts w:asciiTheme="majorBidi" w:hAnsiTheme="majorBidi" w:cstheme="majorBidi"/>
        </w:rPr>
      </w:pPr>
      <w:r w:rsidRPr="005B4BE4">
        <w:rPr>
          <w:rFonts w:asciiTheme="majorBidi" w:hAnsiTheme="majorBidi" w:cstheme="majorBidi"/>
          <w:b/>
        </w:rPr>
        <w:t xml:space="preserve">Trade thesis. </w:t>
      </w:r>
      <w:r w:rsidRPr="005B4BE4">
        <w:rPr>
          <w:rFonts w:asciiTheme="majorBidi" w:hAnsiTheme="majorBidi" w:cstheme="majorBidi"/>
        </w:rPr>
        <w:t>The spread works if the market gives more weight to realized token economics and less weight to optionality that has not yet been exercised. AAVE does not need to become the sole winner in lending for the trade to work; it only needs to continue turning protocol activity into revenue and token support while Morpho remains earlier in that monetization arc.</w:t>
      </w:r>
    </w:p>
    <w:p w14:paraId="42BAF1FD" w14:textId="17F9255D" w:rsidR="007D197C" w:rsidRPr="007D197C" w:rsidRDefault="005B4BE4" w:rsidP="007D197C">
      <w:pPr>
        <w:spacing w:after="80" w:line="259" w:lineRule="auto"/>
        <w:rPr>
          <w:rFonts w:asciiTheme="majorBidi" w:hAnsiTheme="majorBidi" w:cstheme="majorBidi"/>
        </w:rPr>
      </w:pPr>
      <w:r w:rsidRPr="005B4BE4">
        <w:rPr>
          <w:rFonts w:asciiTheme="majorBidi" w:hAnsiTheme="majorBidi" w:cstheme="majorBidi"/>
          <w:b/>
        </w:rPr>
        <w:lastRenderedPageBreak/>
        <w:t xml:space="preserve">Comparable framing. </w:t>
      </w:r>
      <w:r w:rsidRPr="005B4BE4">
        <w:rPr>
          <w:rFonts w:asciiTheme="majorBidi" w:hAnsiTheme="majorBidi" w:cstheme="majorBidi"/>
        </w:rPr>
        <w:t>The most useful comparable for MORPHO is AAVE itself. Both tokens sit inside decentralized lending, both carry similar category beta, and both trade near the same fully diluted valuation, so the analytical task is to judge the quality of economic claims rather than to debate which protocol has the better product.</w:t>
      </w:r>
    </w:p>
    <w:p w14:paraId="7A0E8638" w14:textId="057709AD" w:rsidR="005B4BE4" w:rsidRPr="005B4BE4" w:rsidRDefault="005B4BE4" w:rsidP="005B4BE4">
      <w:pPr>
        <w:spacing w:before="80" w:after="40" w:line="240" w:lineRule="auto"/>
        <w:rPr>
          <w:rFonts w:asciiTheme="majorBidi" w:hAnsiTheme="majorBidi" w:cstheme="majorBidi"/>
        </w:rPr>
      </w:pPr>
      <w:r w:rsidRPr="005B4BE4">
        <w:rPr>
          <w:rFonts w:asciiTheme="majorBidi" w:eastAsia="Arial" w:hAnsiTheme="majorBidi" w:cstheme="majorBidi"/>
          <w:b/>
        </w:rPr>
        <w:t>Twelve-month scenario analysis</w:t>
      </w:r>
    </w:p>
    <w:tbl>
      <w:tblPr>
        <w:tblW w:w="1050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2056"/>
        <w:gridCol w:w="2056"/>
        <w:gridCol w:w="2056"/>
        <w:gridCol w:w="2056"/>
        <w:gridCol w:w="2276"/>
      </w:tblGrid>
      <w:tr w:rsidR="005B4BE4" w:rsidRPr="005B4BE4" w14:paraId="6614C7FB" w14:textId="77777777" w:rsidTr="003D518E">
        <w:tc>
          <w:tcPr>
            <w:tcW w:w="2056" w:type="dxa"/>
            <w:shd w:val="clear" w:color="auto" w:fill="EAF0F6"/>
            <w:tcMar>
              <w:top w:w="55" w:type="dxa"/>
              <w:left w:w="60" w:type="dxa"/>
              <w:bottom w:w="55" w:type="dxa"/>
              <w:right w:w="60" w:type="dxa"/>
            </w:tcMar>
          </w:tcPr>
          <w:p w14:paraId="1A40128C" w14:textId="77777777" w:rsidR="005B4BE4" w:rsidRPr="005B4BE4" w:rsidRDefault="005B4BE4" w:rsidP="003D518E">
            <w:pPr>
              <w:jc w:val="center"/>
              <w:rPr>
                <w:rFonts w:asciiTheme="majorBidi" w:hAnsiTheme="majorBidi" w:cstheme="majorBidi"/>
              </w:rPr>
            </w:pPr>
            <w:r w:rsidRPr="005B4BE4">
              <w:rPr>
                <w:rFonts w:asciiTheme="majorBidi" w:eastAsia="Arial" w:hAnsiTheme="majorBidi" w:cstheme="majorBidi"/>
                <w:b/>
                <w:color w:val="1F2937"/>
                <w:sz w:val="18"/>
              </w:rPr>
              <w:t>Scenario</w:t>
            </w:r>
          </w:p>
        </w:tc>
        <w:tc>
          <w:tcPr>
            <w:tcW w:w="2056" w:type="dxa"/>
            <w:shd w:val="clear" w:color="auto" w:fill="EAF0F6"/>
            <w:tcMar>
              <w:top w:w="55" w:type="dxa"/>
              <w:left w:w="60" w:type="dxa"/>
              <w:bottom w:w="55" w:type="dxa"/>
              <w:right w:w="60" w:type="dxa"/>
            </w:tcMar>
          </w:tcPr>
          <w:p w14:paraId="2714569C" w14:textId="77777777" w:rsidR="005B4BE4" w:rsidRPr="005B4BE4" w:rsidRDefault="005B4BE4" w:rsidP="003D518E">
            <w:pPr>
              <w:jc w:val="center"/>
              <w:rPr>
                <w:rFonts w:asciiTheme="majorBidi" w:hAnsiTheme="majorBidi" w:cstheme="majorBidi"/>
              </w:rPr>
            </w:pPr>
            <w:r w:rsidRPr="005B4BE4">
              <w:rPr>
                <w:rFonts w:asciiTheme="majorBidi" w:eastAsia="Arial" w:hAnsiTheme="majorBidi" w:cstheme="majorBidi"/>
                <w:b/>
                <w:color w:val="1F2937"/>
                <w:sz w:val="18"/>
              </w:rPr>
              <w:t>Probability</w:t>
            </w:r>
          </w:p>
        </w:tc>
        <w:tc>
          <w:tcPr>
            <w:tcW w:w="2056" w:type="dxa"/>
            <w:shd w:val="clear" w:color="auto" w:fill="EAF0F6"/>
            <w:tcMar>
              <w:top w:w="55" w:type="dxa"/>
              <w:left w:w="60" w:type="dxa"/>
              <w:bottom w:w="55" w:type="dxa"/>
              <w:right w:w="60" w:type="dxa"/>
            </w:tcMar>
          </w:tcPr>
          <w:p w14:paraId="524B58AA" w14:textId="77777777" w:rsidR="005B4BE4" w:rsidRPr="005B4BE4" w:rsidRDefault="005B4BE4" w:rsidP="003D518E">
            <w:pPr>
              <w:jc w:val="center"/>
              <w:rPr>
                <w:rFonts w:asciiTheme="majorBidi" w:hAnsiTheme="majorBidi" w:cstheme="majorBidi"/>
              </w:rPr>
            </w:pPr>
            <w:r w:rsidRPr="005B4BE4">
              <w:rPr>
                <w:rFonts w:asciiTheme="majorBidi" w:eastAsia="Arial" w:hAnsiTheme="majorBidi" w:cstheme="majorBidi"/>
                <w:b/>
                <w:color w:val="1F2937"/>
                <w:sz w:val="18"/>
              </w:rPr>
              <w:t>AAVE return</w:t>
            </w:r>
          </w:p>
        </w:tc>
        <w:tc>
          <w:tcPr>
            <w:tcW w:w="2056" w:type="dxa"/>
            <w:shd w:val="clear" w:color="auto" w:fill="EAF0F6"/>
            <w:tcMar>
              <w:top w:w="55" w:type="dxa"/>
              <w:left w:w="60" w:type="dxa"/>
              <w:bottom w:w="55" w:type="dxa"/>
              <w:right w:w="60" w:type="dxa"/>
            </w:tcMar>
          </w:tcPr>
          <w:p w14:paraId="2F95623A" w14:textId="77777777" w:rsidR="005B4BE4" w:rsidRPr="005B4BE4" w:rsidRDefault="005B4BE4" w:rsidP="003D518E">
            <w:pPr>
              <w:jc w:val="center"/>
              <w:rPr>
                <w:rFonts w:asciiTheme="majorBidi" w:hAnsiTheme="majorBidi" w:cstheme="majorBidi"/>
              </w:rPr>
            </w:pPr>
            <w:r w:rsidRPr="005B4BE4">
              <w:rPr>
                <w:rFonts w:asciiTheme="majorBidi" w:eastAsia="Arial" w:hAnsiTheme="majorBidi" w:cstheme="majorBidi"/>
                <w:b/>
                <w:color w:val="1F2937"/>
                <w:sz w:val="18"/>
              </w:rPr>
              <w:t>MORPHO return</w:t>
            </w:r>
          </w:p>
        </w:tc>
        <w:tc>
          <w:tcPr>
            <w:tcW w:w="2276" w:type="dxa"/>
            <w:shd w:val="clear" w:color="auto" w:fill="EAF0F6"/>
            <w:tcMar>
              <w:top w:w="55" w:type="dxa"/>
              <w:left w:w="60" w:type="dxa"/>
              <w:bottom w:w="55" w:type="dxa"/>
              <w:right w:w="60" w:type="dxa"/>
            </w:tcMar>
          </w:tcPr>
          <w:p w14:paraId="10E61733"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Pair alpha</w:t>
            </w:r>
          </w:p>
        </w:tc>
      </w:tr>
      <w:tr w:rsidR="005B4BE4" w:rsidRPr="005B4BE4" w14:paraId="5F807E97" w14:textId="77777777" w:rsidTr="003D518E">
        <w:tc>
          <w:tcPr>
            <w:tcW w:w="2056" w:type="dxa"/>
            <w:tcMar>
              <w:top w:w="55" w:type="dxa"/>
              <w:left w:w="60" w:type="dxa"/>
              <w:bottom w:w="55" w:type="dxa"/>
              <w:right w:w="60" w:type="dxa"/>
            </w:tcMar>
          </w:tcPr>
          <w:p w14:paraId="4648DAD3"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b/>
                <w:sz w:val="18"/>
              </w:rPr>
              <w:t>Upside</w:t>
            </w:r>
          </w:p>
        </w:tc>
        <w:tc>
          <w:tcPr>
            <w:tcW w:w="2056" w:type="dxa"/>
            <w:tcMar>
              <w:top w:w="55" w:type="dxa"/>
              <w:left w:w="60" w:type="dxa"/>
              <w:bottom w:w="55" w:type="dxa"/>
              <w:right w:w="60" w:type="dxa"/>
            </w:tcMar>
          </w:tcPr>
          <w:p w14:paraId="73FFA70B"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25%</w:t>
            </w:r>
          </w:p>
        </w:tc>
        <w:tc>
          <w:tcPr>
            <w:tcW w:w="2056" w:type="dxa"/>
            <w:tcMar>
              <w:top w:w="55" w:type="dxa"/>
              <w:left w:w="60" w:type="dxa"/>
              <w:bottom w:w="55" w:type="dxa"/>
              <w:right w:w="60" w:type="dxa"/>
            </w:tcMar>
          </w:tcPr>
          <w:p w14:paraId="31B83B65"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+35%</w:t>
            </w:r>
          </w:p>
        </w:tc>
        <w:tc>
          <w:tcPr>
            <w:tcW w:w="2056" w:type="dxa"/>
            <w:tcMar>
              <w:top w:w="55" w:type="dxa"/>
              <w:left w:w="60" w:type="dxa"/>
              <w:bottom w:w="55" w:type="dxa"/>
              <w:right w:w="60" w:type="dxa"/>
            </w:tcMar>
          </w:tcPr>
          <w:p w14:paraId="03CB68D6"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-20%</w:t>
            </w:r>
          </w:p>
        </w:tc>
        <w:tc>
          <w:tcPr>
            <w:tcW w:w="2276" w:type="dxa"/>
            <w:tcMar>
              <w:top w:w="55" w:type="dxa"/>
              <w:left w:w="60" w:type="dxa"/>
              <w:bottom w:w="55" w:type="dxa"/>
              <w:right w:w="60" w:type="dxa"/>
            </w:tcMar>
          </w:tcPr>
          <w:p w14:paraId="2D8196BC"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 compounds revenue and buybacks while Morpho still lacks a token-capture catalyst.</w:t>
            </w:r>
          </w:p>
        </w:tc>
      </w:tr>
      <w:tr w:rsidR="005B4BE4" w:rsidRPr="005B4BE4" w14:paraId="60EBD43B" w14:textId="77777777" w:rsidTr="003D518E">
        <w:tc>
          <w:tcPr>
            <w:tcW w:w="2056" w:type="dxa"/>
            <w:tcMar>
              <w:top w:w="55" w:type="dxa"/>
              <w:left w:w="60" w:type="dxa"/>
              <w:bottom w:w="55" w:type="dxa"/>
              <w:right w:w="60" w:type="dxa"/>
            </w:tcMar>
          </w:tcPr>
          <w:p w14:paraId="5F854DF5"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b/>
                <w:sz w:val="18"/>
              </w:rPr>
              <w:t>Base case</w:t>
            </w:r>
          </w:p>
        </w:tc>
        <w:tc>
          <w:tcPr>
            <w:tcW w:w="2056" w:type="dxa"/>
            <w:tcMar>
              <w:top w:w="55" w:type="dxa"/>
              <w:left w:w="60" w:type="dxa"/>
              <w:bottom w:w="55" w:type="dxa"/>
              <w:right w:w="60" w:type="dxa"/>
            </w:tcMar>
          </w:tcPr>
          <w:p w14:paraId="180C8773"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50%</w:t>
            </w:r>
          </w:p>
        </w:tc>
        <w:tc>
          <w:tcPr>
            <w:tcW w:w="2056" w:type="dxa"/>
            <w:tcMar>
              <w:top w:w="55" w:type="dxa"/>
              <w:left w:w="60" w:type="dxa"/>
              <w:bottom w:w="55" w:type="dxa"/>
              <w:right w:w="60" w:type="dxa"/>
            </w:tcMar>
          </w:tcPr>
          <w:p w14:paraId="33B4F948"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+18%</w:t>
            </w:r>
          </w:p>
        </w:tc>
        <w:tc>
          <w:tcPr>
            <w:tcW w:w="2056" w:type="dxa"/>
            <w:tcMar>
              <w:top w:w="55" w:type="dxa"/>
              <w:left w:w="60" w:type="dxa"/>
              <w:bottom w:w="55" w:type="dxa"/>
              <w:right w:w="60" w:type="dxa"/>
            </w:tcMar>
          </w:tcPr>
          <w:p w14:paraId="40CC02F7"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-15%</w:t>
            </w:r>
          </w:p>
        </w:tc>
        <w:tc>
          <w:tcPr>
            <w:tcW w:w="2276" w:type="dxa"/>
            <w:tcMar>
              <w:top w:w="55" w:type="dxa"/>
              <w:left w:w="60" w:type="dxa"/>
              <w:bottom w:w="55" w:type="dxa"/>
              <w:right w:w="60" w:type="dxa"/>
            </w:tcMar>
          </w:tcPr>
          <w:p w14:paraId="6D9AA654"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Both protocols execute well, but the market continues to favor the token with live economics.</w:t>
            </w:r>
          </w:p>
        </w:tc>
      </w:tr>
      <w:tr w:rsidR="005B4BE4" w:rsidRPr="005B4BE4" w14:paraId="42DAFF24" w14:textId="77777777" w:rsidTr="003D518E">
        <w:tc>
          <w:tcPr>
            <w:tcW w:w="2056" w:type="dxa"/>
            <w:tcMar>
              <w:top w:w="55" w:type="dxa"/>
              <w:left w:w="60" w:type="dxa"/>
              <w:bottom w:w="55" w:type="dxa"/>
              <w:right w:w="60" w:type="dxa"/>
            </w:tcMar>
          </w:tcPr>
          <w:p w14:paraId="5239D50B"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b/>
                <w:sz w:val="18"/>
              </w:rPr>
              <w:t>Downside</w:t>
            </w:r>
          </w:p>
        </w:tc>
        <w:tc>
          <w:tcPr>
            <w:tcW w:w="2056" w:type="dxa"/>
            <w:tcMar>
              <w:top w:w="55" w:type="dxa"/>
              <w:left w:w="60" w:type="dxa"/>
              <w:bottom w:w="55" w:type="dxa"/>
              <w:right w:w="60" w:type="dxa"/>
            </w:tcMar>
          </w:tcPr>
          <w:p w14:paraId="0FAED945"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25%</w:t>
            </w:r>
          </w:p>
        </w:tc>
        <w:tc>
          <w:tcPr>
            <w:tcW w:w="2056" w:type="dxa"/>
            <w:tcMar>
              <w:top w:w="55" w:type="dxa"/>
              <w:left w:w="60" w:type="dxa"/>
              <w:bottom w:w="55" w:type="dxa"/>
              <w:right w:w="60" w:type="dxa"/>
            </w:tcMar>
          </w:tcPr>
          <w:p w14:paraId="41D1F07A"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-18%</w:t>
            </w:r>
          </w:p>
        </w:tc>
        <w:tc>
          <w:tcPr>
            <w:tcW w:w="2056" w:type="dxa"/>
            <w:tcMar>
              <w:top w:w="55" w:type="dxa"/>
              <w:left w:w="60" w:type="dxa"/>
              <w:bottom w:w="55" w:type="dxa"/>
              <w:right w:w="60" w:type="dxa"/>
            </w:tcMar>
          </w:tcPr>
          <w:p w14:paraId="2E034BF1" w14:textId="77777777" w:rsidR="005B4BE4" w:rsidRPr="005B4BE4" w:rsidRDefault="005B4BE4" w:rsidP="003D518E">
            <w:pPr>
              <w:spacing w:after="0" w:line="245" w:lineRule="auto"/>
              <w:jc w:val="center"/>
              <w:rPr>
                <w:rFonts w:asciiTheme="majorBidi" w:hAnsiTheme="majorBidi" w:cstheme="majorBidi"/>
              </w:rPr>
            </w:pPr>
            <w:r w:rsidRPr="005B4BE4">
              <w:rPr>
                <w:rFonts w:asciiTheme="majorBidi" w:hAnsiTheme="majorBidi" w:cstheme="majorBidi"/>
                <w:sz w:val="18"/>
              </w:rPr>
              <w:t>-10%</w:t>
            </w:r>
          </w:p>
        </w:tc>
        <w:tc>
          <w:tcPr>
            <w:tcW w:w="2276" w:type="dxa"/>
            <w:tcMar>
              <w:top w:w="55" w:type="dxa"/>
              <w:left w:w="60" w:type="dxa"/>
              <w:bottom w:w="55" w:type="dxa"/>
              <w:right w:w="60" w:type="dxa"/>
            </w:tcMar>
          </w:tcPr>
          <w:p w14:paraId="4F852B4D"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Morpho closes the token-capture gap faster than expected and Aave’s revenue softens with weaker borrowing demand.</w:t>
            </w:r>
          </w:p>
        </w:tc>
      </w:tr>
    </w:tbl>
    <w:p w14:paraId="667ADD92" w14:textId="7BCC5AD7" w:rsidR="005B4BE4" w:rsidRPr="005B4BE4" w:rsidRDefault="005B4BE4" w:rsidP="005B4BE4">
      <w:pPr>
        <w:spacing w:after="80" w:line="259" w:lineRule="auto"/>
        <w:rPr>
          <w:rFonts w:asciiTheme="majorBidi" w:hAnsiTheme="majorBidi" w:cstheme="majorBidi"/>
        </w:rPr>
      </w:pPr>
      <w:r w:rsidRPr="005B4BE4">
        <w:rPr>
          <w:rFonts w:asciiTheme="majorBidi" w:hAnsiTheme="majorBidi" w:cstheme="majorBidi"/>
          <w:b/>
        </w:rPr>
        <w:t xml:space="preserve">Expected rate of return. </w:t>
      </w:r>
      <w:r w:rsidRPr="005B4BE4">
        <w:rPr>
          <w:rFonts w:asciiTheme="majorBidi" w:hAnsiTheme="majorBidi" w:cstheme="majorBidi"/>
        </w:rPr>
        <w:t>The weighted expected outcome is approximately 28</w:t>
      </w:r>
      <w:r w:rsidR="00CE74B0">
        <w:rPr>
          <w:rFonts w:asciiTheme="majorBidi" w:hAnsiTheme="majorBidi" w:cstheme="majorBidi"/>
        </w:rPr>
        <w:t xml:space="preserve">% </w:t>
      </w:r>
      <w:r w:rsidRPr="005B4BE4">
        <w:rPr>
          <w:rFonts w:asciiTheme="majorBidi" w:hAnsiTheme="majorBidi" w:cstheme="majorBidi"/>
        </w:rPr>
        <w:t>of pair alpha over twelve months before financing, borrow, and execution costs. The base case contributes the bulk of that return because it requires only modest appreciation in AAVE and modest derating in MORPHO rather than a dramatic failure on either side.</w:t>
      </w:r>
    </w:p>
    <w:p w14:paraId="12930D8C" w14:textId="77777777" w:rsidR="005B4BE4" w:rsidRPr="005B4BE4" w:rsidRDefault="005B4BE4" w:rsidP="005B4BE4">
      <w:pPr>
        <w:spacing w:after="80" w:line="259" w:lineRule="auto"/>
        <w:rPr>
          <w:rFonts w:asciiTheme="majorBidi" w:hAnsiTheme="majorBidi" w:cstheme="majorBidi"/>
        </w:rPr>
      </w:pPr>
      <w:r w:rsidRPr="005B4BE4">
        <w:rPr>
          <w:rFonts w:asciiTheme="majorBidi" w:hAnsiTheme="majorBidi" w:cstheme="majorBidi"/>
          <w:b/>
        </w:rPr>
        <w:t xml:space="preserve">Upside case. </w:t>
      </w:r>
      <w:r w:rsidRPr="005B4BE4">
        <w:rPr>
          <w:rFonts w:asciiTheme="majorBidi" w:hAnsiTheme="majorBidi" w:cstheme="majorBidi"/>
        </w:rPr>
        <w:t>Aave’s existing revenue base, buybacks, and treasury support are rewarded with a richer multiple, while Morpho’s growing adoption continues to outpace its token monetization. In that setting the market does not need to turn against Morpho; it simply needs to stop paying near-Aave prices for a token that still lacks protocol-level revenue.</w:t>
      </w:r>
    </w:p>
    <w:p w14:paraId="2E7B6FBA" w14:textId="3E21FD3A" w:rsidR="005B4BE4" w:rsidRPr="005B4BE4" w:rsidRDefault="005B4BE4" w:rsidP="005B4BE4">
      <w:pPr>
        <w:spacing w:after="80" w:line="259" w:lineRule="auto"/>
        <w:rPr>
          <w:rFonts w:asciiTheme="majorBidi" w:hAnsiTheme="majorBidi" w:cstheme="majorBidi"/>
        </w:rPr>
      </w:pPr>
      <w:r w:rsidRPr="005B4BE4">
        <w:rPr>
          <w:rFonts w:asciiTheme="majorBidi" w:hAnsiTheme="majorBidi" w:cstheme="majorBidi"/>
          <w:b/>
        </w:rPr>
        <w:t xml:space="preserve">Base case. </w:t>
      </w:r>
      <w:r w:rsidRPr="005B4BE4">
        <w:rPr>
          <w:rFonts w:asciiTheme="majorBidi" w:hAnsiTheme="majorBidi" w:cstheme="majorBidi"/>
        </w:rPr>
        <w:t xml:space="preserve">Both protocols </w:t>
      </w:r>
      <w:r w:rsidR="006B6B82">
        <w:rPr>
          <w:rFonts w:asciiTheme="majorBidi" w:hAnsiTheme="majorBidi" w:cstheme="majorBidi"/>
        </w:rPr>
        <w:t>continue</w:t>
      </w:r>
      <w:r w:rsidRPr="005B4BE4">
        <w:rPr>
          <w:rFonts w:asciiTheme="majorBidi" w:hAnsiTheme="majorBidi" w:cstheme="majorBidi"/>
        </w:rPr>
        <w:t xml:space="preserve"> </w:t>
      </w:r>
      <w:r w:rsidR="007D197C">
        <w:rPr>
          <w:rFonts w:asciiTheme="majorBidi" w:hAnsiTheme="majorBidi" w:cstheme="majorBidi"/>
        </w:rPr>
        <w:t>to attract</w:t>
      </w:r>
      <w:r w:rsidRPr="005B4BE4">
        <w:rPr>
          <w:rFonts w:asciiTheme="majorBidi" w:hAnsiTheme="majorBidi" w:cstheme="majorBidi"/>
        </w:rPr>
        <w:t xml:space="preserve"> users and integrations. The difference is that Aave’s token remains tethered to live economics, whereas Morpho’s token still trades more on what governance could decide than on what the protocol currently returns.</w:t>
      </w:r>
    </w:p>
    <w:p w14:paraId="507A116E" w14:textId="77777777" w:rsidR="005B4BE4" w:rsidRPr="005B4BE4" w:rsidRDefault="005B4BE4" w:rsidP="005B4BE4">
      <w:pPr>
        <w:spacing w:after="80" w:line="259" w:lineRule="auto"/>
        <w:rPr>
          <w:rFonts w:asciiTheme="majorBidi" w:hAnsiTheme="majorBidi" w:cstheme="majorBidi"/>
        </w:rPr>
      </w:pPr>
      <w:r w:rsidRPr="005B4BE4">
        <w:rPr>
          <w:rFonts w:asciiTheme="majorBidi" w:hAnsiTheme="majorBidi" w:cstheme="majorBidi"/>
          <w:b/>
        </w:rPr>
        <w:t xml:space="preserve">Downside case. </w:t>
      </w:r>
      <w:r w:rsidRPr="005B4BE4">
        <w:rPr>
          <w:rFonts w:asciiTheme="majorBidi" w:hAnsiTheme="majorBidi" w:cstheme="majorBidi"/>
        </w:rPr>
        <w:t>Morpho narrows the gap through a credible fee switch, a clearer token-accrual design, or a V2 launch that convinces the market monetization is close at hand. Aave would also weaken if borrowing demand rolled over sharply enough to compress revenue faster than the market expects.</w:t>
      </w:r>
    </w:p>
    <w:p w14:paraId="75FB8126" w14:textId="77777777" w:rsidR="005B4BE4" w:rsidRPr="005B4BE4" w:rsidRDefault="005B4BE4" w:rsidP="005B4BE4">
      <w:pPr>
        <w:spacing w:after="80" w:line="259" w:lineRule="auto"/>
        <w:rPr>
          <w:rFonts w:asciiTheme="majorBidi" w:hAnsiTheme="majorBidi" w:cstheme="majorBidi"/>
        </w:rPr>
      </w:pPr>
      <w:r w:rsidRPr="005B4BE4">
        <w:rPr>
          <w:rFonts w:asciiTheme="majorBidi" w:hAnsiTheme="majorBidi" w:cstheme="majorBidi"/>
          <w:b/>
        </w:rPr>
        <w:t xml:space="preserve">Experts and calls that would add the most value. </w:t>
      </w:r>
      <w:r w:rsidRPr="005B4BE4">
        <w:rPr>
          <w:rFonts w:asciiTheme="majorBidi" w:hAnsiTheme="majorBidi" w:cstheme="majorBidi"/>
        </w:rPr>
        <w:t>On Aave, the most useful conversations would be with Marc Zeller, ACI, TokenLogic, BGD Labs, and the main risk-service providers. On Morpho, the best calls would be with Paul Frambot, Morpho Association contributors, Gauntlet, Steakhouse Financial, Re7, and institutional partners close to Coinbase and the broader real-world-asset market.</w:t>
      </w:r>
    </w:p>
    <w:p w14:paraId="7368B0C4" w14:textId="26EEBCFD" w:rsidR="005B4BE4" w:rsidRPr="00573C5C" w:rsidRDefault="005B4BE4" w:rsidP="00573C5C">
      <w:pPr>
        <w:pStyle w:val="NormalWeb"/>
      </w:pPr>
      <w:r w:rsidRPr="005B4BE4">
        <w:rPr>
          <w:rFonts w:asciiTheme="majorBidi" w:hAnsiTheme="majorBidi" w:cstheme="majorBidi"/>
          <w:b/>
          <w:sz w:val="21"/>
        </w:rPr>
        <w:t xml:space="preserve">Bottom line. </w:t>
      </w:r>
      <w:r w:rsidRPr="005B4BE4">
        <w:rPr>
          <w:rFonts w:asciiTheme="majorBidi" w:hAnsiTheme="majorBidi" w:cstheme="majorBidi"/>
          <w:sz w:val="21"/>
        </w:rPr>
        <w:t>AAVE is the better long because the token already has a measurable economic claim. MORPHO is the better short because the protocol is executing well, but the token still depends on value accrual that has not yet arrived.</w:t>
      </w:r>
      <w:r w:rsidR="00573C5C">
        <w:rPr>
          <w:rFonts w:asciiTheme="majorBidi" w:hAnsiTheme="majorBidi" w:cstheme="majorBidi"/>
        </w:rPr>
        <w:br/>
      </w:r>
      <w:r w:rsidR="00573C5C">
        <w:rPr>
          <w:rFonts w:asciiTheme="majorBidi" w:hAnsiTheme="majorBidi" w:cstheme="majorBidi"/>
        </w:rPr>
        <w:br/>
      </w:r>
      <w:r w:rsidR="00573C5C" w:rsidRPr="00573C5C">
        <w:rPr>
          <w:rStyle w:val="Emphasis"/>
          <w:sz w:val="18"/>
          <w:szCs w:val="18"/>
        </w:rPr>
        <w:t xml:space="preserve">Sources: Scenario probabilities, return assumptions, and pair-alpha estimates are author judgments informed by current </w:t>
      </w:r>
      <w:proofErr w:type="spellStart"/>
      <w:r w:rsidR="00573C5C" w:rsidRPr="00573C5C">
        <w:rPr>
          <w:rStyle w:val="Emphasis"/>
          <w:sz w:val="18"/>
          <w:szCs w:val="18"/>
        </w:rPr>
        <w:t>DeFiLlama</w:t>
      </w:r>
      <w:proofErr w:type="spellEnd"/>
      <w:r w:rsidR="00573C5C" w:rsidRPr="00573C5C">
        <w:rPr>
          <w:rStyle w:val="Emphasis"/>
          <w:sz w:val="18"/>
          <w:szCs w:val="18"/>
        </w:rPr>
        <w:t xml:space="preserve"> valuation and revenue data, Aave governance materials, and Morpho governance and roadmap materials.</w:t>
      </w:r>
      <w:r>
        <w:rPr>
          <w:rFonts w:asciiTheme="majorBidi" w:hAnsiTheme="majorBidi" w:cstheme="majorBidi"/>
        </w:rPr>
        <w:br/>
      </w:r>
      <w:r>
        <w:rPr>
          <w:rFonts w:asciiTheme="majorBidi" w:hAnsiTheme="majorBidi" w:cstheme="majorBidi"/>
        </w:rPr>
        <w:br/>
      </w:r>
      <w:r w:rsidRPr="005B4BE4">
        <w:rPr>
          <w:rFonts w:asciiTheme="majorBidi" w:eastAsia="Arial" w:hAnsiTheme="majorBidi" w:cstheme="majorBidi"/>
          <w:b/>
          <w:sz w:val="25"/>
        </w:rPr>
        <w:t>Partnerships and Ecosystem Positioning</w:t>
      </w:r>
    </w:p>
    <w:tbl>
      <w:tblPr>
        <w:tblW w:w="10410" w:type="dxa"/>
        <w:tblBorders>
          <w:top w:val="single" w:sz="6" w:space="0" w:color="C7CDD4"/>
          <w:left w:val="single" w:sz="6" w:space="0" w:color="C7CDD4"/>
          <w:bottom w:val="single" w:sz="6" w:space="0" w:color="C7CDD4"/>
          <w:right w:val="single" w:sz="6" w:space="0" w:color="C7CDD4"/>
          <w:insideH w:val="single" w:sz="6" w:space="0" w:color="C7CDD4"/>
          <w:insideV w:val="single" w:sz="6" w:space="0" w:color="C7CDD4"/>
        </w:tblBorders>
        <w:tblLayout w:type="fixed"/>
        <w:tblLook w:val="04A0" w:firstRow="1" w:lastRow="0" w:firstColumn="1" w:lastColumn="0" w:noHBand="0" w:noVBand="1"/>
      </w:tblPr>
      <w:tblGrid>
        <w:gridCol w:w="3427"/>
        <w:gridCol w:w="3960"/>
        <w:gridCol w:w="3023"/>
      </w:tblGrid>
      <w:tr w:rsidR="005B4BE4" w:rsidRPr="005B4BE4" w14:paraId="30F3196B" w14:textId="77777777" w:rsidTr="003D518E">
        <w:tc>
          <w:tcPr>
            <w:tcW w:w="3427" w:type="dxa"/>
            <w:shd w:val="clear" w:color="auto" w:fill="EAF0F6"/>
            <w:tcMar>
              <w:top w:w="55" w:type="dxa"/>
              <w:left w:w="60" w:type="dxa"/>
              <w:bottom w:w="55" w:type="dxa"/>
              <w:right w:w="60" w:type="dxa"/>
            </w:tcMar>
          </w:tcPr>
          <w:p w14:paraId="125251F5"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Dimension</w:t>
            </w:r>
          </w:p>
        </w:tc>
        <w:tc>
          <w:tcPr>
            <w:tcW w:w="3960" w:type="dxa"/>
            <w:shd w:val="clear" w:color="auto" w:fill="EAF0F6"/>
            <w:tcMar>
              <w:top w:w="55" w:type="dxa"/>
              <w:left w:w="60" w:type="dxa"/>
              <w:bottom w:w="55" w:type="dxa"/>
              <w:right w:w="60" w:type="dxa"/>
            </w:tcMar>
          </w:tcPr>
          <w:p w14:paraId="7B1ED621"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AAVE</w:t>
            </w:r>
          </w:p>
        </w:tc>
        <w:tc>
          <w:tcPr>
            <w:tcW w:w="3023" w:type="dxa"/>
            <w:shd w:val="clear" w:color="auto" w:fill="EAF0F6"/>
            <w:tcMar>
              <w:top w:w="55" w:type="dxa"/>
              <w:left w:w="60" w:type="dxa"/>
              <w:bottom w:w="55" w:type="dxa"/>
              <w:right w:w="60" w:type="dxa"/>
            </w:tcMar>
          </w:tcPr>
          <w:p w14:paraId="69099DAE" w14:textId="77777777" w:rsidR="005B4BE4" w:rsidRPr="005B4BE4" w:rsidRDefault="005B4BE4" w:rsidP="003D518E">
            <w:pPr>
              <w:rPr>
                <w:rFonts w:asciiTheme="majorBidi" w:hAnsiTheme="majorBidi" w:cstheme="majorBidi"/>
              </w:rPr>
            </w:pPr>
            <w:r w:rsidRPr="005B4BE4">
              <w:rPr>
                <w:rFonts w:asciiTheme="majorBidi" w:eastAsia="Arial" w:hAnsiTheme="majorBidi" w:cstheme="majorBidi"/>
                <w:b/>
                <w:color w:val="1F2937"/>
                <w:sz w:val="18"/>
              </w:rPr>
              <w:t>MORPHO</w:t>
            </w:r>
          </w:p>
        </w:tc>
      </w:tr>
      <w:tr w:rsidR="005B4BE4" w:rsidRPr="005B4BE4" w14:paraId="105E605A" w14:textId="77777777" w:rsidTr="003D518E">
        <w:tc>
          <w:tcPr>
            <w:tcW w:w="3427" w:type="dxa"/>
            <w:tcMar>
              <w:top w:w="55" w:type="dxa"/>
              <w:left w:w="60" w:type="dxa"/>
              <w:bottom w:w="55" w:type="dxa"/>
              <w:right w:w="60" w:type="dxa"/>
            </w:tcMar>
          </w:tcPr>
          <w:p w14:paraId="7922E559"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Institutional and wallet relationships</w:t>
            </w:r>
          </w:p>
        </w:tc>
        <w:tc>
          <w:tcPr>
            <w:tcW w:w="3960" w:type="dxa"/>
            <w:tcMar>
              <w:top w:w="55" w:type="dxa"/>
              <w:left w:w="60" w:type="dxa"/>
              <w:bottom w:w="55" w:type="dxa"/>
              <w:right w:w="60" w:type="dxa"/>
            </w:tcMar>
          </w:tcPr>
          <w:p w14:paraId="4AC59279"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 xml:space="preserve">Horizon launched with partners such as VanEck, Circle, Securitize, Ripple, WisdomTree, Superstate, Centrifuge, Hamilton Lane, and </w:t>
            </w:r>
            <w:proofErr w:type="spellStart"/>
            <w:r w:rsidRPr="005B4BE4">
              <w:rPr>
                <w:rFonts w:asciiTheme="majorBidi" w:hAnsiTheme="majorBidi" w:cstheme="majorBidi"/>
                <w:sz w:val="18"/>
              </w:rPr>
              <w:t>OpenEden</w:t>
            </w:r>
            <w:proofErr w:type="spellEnd"/>
            <w:r w:rsidRPr="005B4BE4">
              <w:rPr>
                <w:rFonts w:asciiTheme="majorBidi" w:hAnsiTheme="majorBidi" w:cstheme="majorBidi"/>
                <w:sz w:val="18"/>
              </w:rPr>
              <w:t xml:space="preserve">. Aave also expanded through MetaMask, </w:t>
            </w:r>
            <w:proofErr w:type="spellStart"/>
            <w:r w:rsidRPr="005B4BE4">
              <w:rPr>
                <w:rFonts w:asciiTheme="majorBidi" w:hAnsiTheme="majorBidi" w:cstheme="majorBidi"/>
                <w:sz w:val="18"/>
              </w:rPr>
              <w:t>Bitget</w:t>
            </w:r>
            <w:proofErr w:type="spellEnd"/>
            <w:r w:rsidRPr="005B4BE4">
              <w:rPr>
                <w:rFonts w:asciiTheme="majorBidi" w:hAnsiTheme="majorBidi" w:cstheme="majorBidi"/>
                <w:sz w:val="18"/>
              </w:rPr>
              <w:t xml:space="preserve"> Wallet, Ledger, </w:t>
            </w:r>
            <w:proofErr w:type="spellStart"/>
            <w:r w:rsidRPr="005B4BE4">
              <w:rPr>
                <w:rFonts w:asciiTheme="majorBidi" w:hAnsiTheme="majorBidi" w:cstheme="majorBidi"/>
                <w:sz w:val="18"/>
              </w:rPr>
              <w:t>Tangem</w:t>
            </w:r>
            <w:proofErr w:type="spellEnd"/>
            <w:r w:rsidRPr="005B4BE4">
              <w:rPr>
                <w:rFonts w:asciiTheme="majorBidi" w:hAnsiTheme="majorBidi" w:cstheme="majorBidi"/>
                <w:sz w:val="18"/>
              </w:rPr>
              <w:t xml:space="preserve">, Lemon, </w:t>
            </w:r>
            <w:proofErr w:type="spellStart"/>
            <w:r w:rsidRPr="005B4BE4">
              <w:rPr>
                <w:rFonts w:asciiTheme="majorBidi" w:hAnsiTheme="majorBidi" w:cstheme="majorBidi"/>
                <w:sz w:val="18"/>
              </w:rPr>
              <w:t>Ripio</w:t>
            </w:r>
            <w:proofErr w:type="spellEnd"/>
            <w:r w:rsidRPr="005B4BE4">
              <w:rPr>
                <w:rFonts w:asciiTheme="majorBidi" w:hAnsiTheme="majorBidi" w:cstheme="majorBidi"/>
                <w:sz w:val="18"/>
              </w:rPr>
              <w:t xml:space="preserve">, Belo, and </w:t>
            </w:r>
            <w:proofErr w:type="spellStart"/>
            <w:r w:rsidRPr="005B4BE4">
              <w:rPr>
                <w:rFonts w:asciiTheme="majorBidi" w:hAnsiTheme="majorBidi" w:cstheme="majorBidi"/>
                <w:sz w:val="18"/>
              </w:rPr>
              <w:t>Buenbit</w:t>
            </w:r>
            <w:proofErr w:type="spellEnd"/>
            <w:r w:rsidRPr="005B4BE4">
              <w:rPr>
                <w:rFonts w:asciiTheme="majorBidi" w:hAnsiTheme="majorBidi" w:cstheme="majorBidi"/>
                <w:sz w:val="18"/>
              </w:rPr>
              <w:t>.</w:t>
            </w:r>
          </w:p>
        </w:tc>
        <w:tc>
          <w:tcPr>
            <w:tcW w:w="3023" w:type="dxa"/>
            <w:tcMar>
              <w:top w:w="55" w:type="dxa"/>
              <w:left w:w="60" w:type="dxa"/>
              <w:bottom w:w="55" w:type="dxa"/>
              <w:right w:w="60" w:type="dxa"/>
            </w:tcMar>
          </w:tcPr>
          <w:p w14:paraId="189111A3"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 xml:space="preserve">Morpho’s 2025 and 2026 materials highlight Coinbase, Crypto.com, Gemini, Société Générale FORGE, </w:t>
            </w:r>
            <w:proofErr w:type="spellStart"/>
            <w:r w:rsidRPr="005B4BE4">
              <w:rPr>
                <w:rFonts w:asciiTheme="majorBidi" w:hAnsiTheme="majorBidi" w:cstheme="majorBidi"/>
                <w:sz w:val="18"/>
              </w:rPr>
              <w:t>Bitget</w:t>
            </w:r>
            <w:proofErr w:type="spellEnd"/>
            <w:r w:rsidRPr="005B4BE4">
              <w:rPr>
                <w:rFonts w:asciiTheme="majorBidi" w:hAnsiTheme="majorBidi" w:cstheme="majorBidi"/>
                <w:sz w:val="18"/>
              </w:rPr>
              <w:t>, and a growing group of institutional and curator partners.</w:t>
            </w:r>
          </w:p>
        </w:tc>
      </w:tr>
      <w:tr w:rsidR="005B4BE4" w:rsidRPr="005B4BE4" w14:paraId="07A56E29" w14:textId="77777777" w:rsidTr="003D518E">
        <w:tc>
          <w:tcPr>
            <w:tcW w:w="3427" w:type="dxa"/>
            <w:tcMar>
              <w:top w:w="55" w:type="dxa"/>
              <w:left w:w="60" w:type="dxa"/>
              <w:bottom w:w="55" w:type="dxa"/>
              <w:right w:w="60" w:type="dxa"/>
            </w:tcMar>
          </w:tcPr>
          <w:p w14:paraId="0FA310C6"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lastRenderedPageBreak/>
              <w:t>What those relationships say about the next phase</w:t>
            </w:r>
          </w:p>
        </w:tc>
        <w:tc>
          <w:tcPr>
            <w:tcW w:w="3960" w:type="dxa"/>
            <w:tcMar>
              <w:top w:w="55" w:type="dxa"/>
              <w:left w:w="60" w:type="dxa"/>
              <w:bottom w:w="55" w:type="dxa"/>
              <w:right w:w="60" w:type="dxa"/>
            </w:tcMar>
          </w:tcPr>
          <w:p w14:paraId="7DC7389E"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 is extending a monetized lending network into regulated savings, tokenized assets, and embedded finance.</w:t>
            </w:r>
          </w:p>
        </w:tc>
        <w:tc>
          <w:tcPr>
            <w:tcW w:w="3023" w:type="dxa"/>
            <w:tcMar>
              <w:top w:w="55" w:type="dxa"/>
              <w:left w:w="60" w:type="dxa"/>
              <w:bottom w:w="55" w:type="dxa"/>
              <w:right w:w="60" w:type="dxa"/>
            </w:tcMar>
          </w:tcPr>
          <w:p w14:paraId="5ED40A8B"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Morpho is becoming lending infrastructure that exchanges, custodians, and institutions can build on top of with more control over market design.</w:t>
            </w:r>
          </w:p>
        </w:tc>
      </w:tr>
      <w:tr w:rsidR="005B4BE4" w:rsidRPr="005B4BE4" w14:paraId="756F33B6" w14:textId="77777777" w:rsidTr="003D518E">
        <w:tc>
          <w:tcPr>
            <w:tcW w:w="3427" w:type="dxa"/>
            <w:tcMar>
              <w:top w:w="55" w:type="dxa"/>
              <w:left w:w="60" w:type="dxa"/>
              <w:bottom w:w="55" w:type="dxa"/>
              <w:right w:w="60" w:type="dxa"/>
            </w:tcMar>
          </w:tcPr>
          <w:p w14:paraId="707FD171"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b/>
                <w:sz w:val="18"/>
              </w:rPr>
              <w:t>Implication for the pair</w:t>
            </w:r>
          </w:p>
        </w:tc>
        <w:tc>
          <w:tcPr>
            <w:tcW w:w="3960" w:type="dxa"/>
            <w:tcMar>
              <w:top w:w="55" w:type="dxa"/>
              <w:left w:w="60" w:type="dxa"/>
              <w:bottom w:w="55" w:type="dxa"/>
              <w:right w:w="60" w:type="dxa"/>
            </w:tcMar>
          </w:tcPr>
          <w:p w14:paraId="7292BEE1"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Aave’s ecosystem is less novel, but it is easier to monetize at the token level.</w:t>
            </w:r>
          </w:p>
        </w:tc>
        <w:tc>
          <w:tcPr>
            <w:tcW w:w="3023" w:type="dxa"/>
            <w:tcMar>
              <w:top w:w="55" w:type="dxa"/>
              <w:left w:w="60" w:type="dxa"/>
              <w:bottom w:w="55" w:type="dxa"/>
              <w:right w:w="60" w:type="dxa"/>
            </w:tcMar>
          </w:tcPr>
          <w:p w14:paraId="02B1AE0F" w14:textId="77777777" w:rsidR="005B4BE4" w:rsidRPr="005B4BE4" w:rsidRDefault="005B4BE4" w:rsidP="003D518E">
            <w:pPr>
              <w:spacing w:after="0" w:line="245" w:lineRule="auto"/>
              <w:rPr>
                <w:rFonts w:asciiTheme="majorBidi" w:hAnsiTheme="majorBidi" w:cstheme="majorBidi"/>
              </w:rPr>
            </w:pPr>
            <w:r w:rsidRPr="005B4BE4">
              <w:rPr>
                <w:rFonts w:asciiTheme="majorBidi" w:hAnsiTheme="majorBidi" w:cstheme="majorBidi"/>
                <w:sz w:val="18"/>
              </w:rPr>
              <w:t>Morpho’s ecosystem is strategically impressive, though the token still trails the protocol in value capture.</w:t>
            </w:r>
          </w:p>
        </w:tc>
      </w:tr>
    </w:tbl>
    <w:p w14:paraId="7FE4EC04" w14:textId="77777777" w:rsidR="005B4BE4" w:rsidRPr="005B4BE4" w:rsidRDefault="005B4BE4" w:rsidP="005B4BE4">
      <w:pPr>
        <w:spacing w:after="80" w:line="259" w:lineRule="auto"/>
        <w:rPr>
          <w:rFonts w:asciiTheme="majorBidi" w:hAnsiTheme="majorBidi" w:cstheme="majorBidi"/>
        </w:rPr>
      </w:pPr>
    </w:p>
    <w:p w14:paraId="51175EAC" w14:textId="383D973B" w:rsidR="00545966" w:rsidRPr="00573C5C" w:rsidRDefault="00573C5C" w:rsidP="00573C5C">
      <w:pPr>
        <w:pBdr>
          <w:bottom w:val="single" w:sz="8" w:space="2" w:color="1F2937"/>
        </w:pBdr>
        <w:spacing w:after="80" w:line="240" w:lineRule="auto"/>
        <w:rPr>
          <w:rFonts w:asciiTheme="majorBidi" w:eastAsia="Arial" w:hAnsiTheme="majorBidi" w:cstheme="majorBidi"/>
          <w:b/>
          <w:i/>
          <w:iCs/>
          <w:sz w:val="18"/>
          <w:szCs w:val="18"/>
        </w:rPr>
      </w:pPr>
      <w:r w:rsidRPr="00573C5C">
        <w:rPr>
          <w:i/>
          <w:iCs/>
          <w:sz w:val="18"/>
          <w:szCs w:val="18"/>
        </w:rPr>
        <w:t>Sources: Aave ecosystem updates for Horizon, GHO, wallet and fintech distribution, and regulated distribution context; Morpho ecosystem and roadmap materials for partner references, growth metrics, and institutional positioning.</w:t>
      </w:r>
    </w:p>
    <w:p w14:paraId="23396D5A" w14:textId="77777777" w:rsidR="00545966" w:rsidRDefault="00545966" w:rsidP="005B4BE4">
      <w:pPr>
        <w:pBdr>
          <w:bottom w:val="single" w:sz="8" w:space="2" w:color="1F2937"/>
        </w:pBdr>
        <w:spacing w:after="80" w:line="240" w:lineRule="auto"/>
        <w:rPr>
          <w:rFonts w:asciiTheme="majorBidi" w:eastAsia="Arial" w:hAnsiTheme="majorBidi" w:cstheme="majorBidi"/>
          <w:b/>
          <w:sz w:val="25"/>
        </w:rPr>
      </w:pPr>
    </w:p>
    <w:p w14:paraId="074CD7B7" w14:textId="47445338" w:rsidR="005B4BE4" w:rsidRPr="005B4BE4" w:rsidRDefault="005B4BE4" w:rsidP="005B4BE4">
      <w:pPr>
        <w:pBdr>
          <w:bottom w:val="single" w:sz="8" w:space="2" w:color="1F2937"/>
        </w:pBdr>
        <w:spacing w:after="80" w:line="240" w:lineRule="auto"/>
        <w:rPr>
          <w:rFonts w:asciiTheme="majorBidi" w:hAnsiTheme="majorBidi" w:cstheme="majorBidi"/>
        </w:rPr>
      </w:pPr>
      <w:r w:rsidRPr="005B4BE4">
        <w:rPr>
          <w:rFonts w:asciiTheme="majorBidi" w:eastAsia="Arial" w:hAnsiTheme="majorBidi" w:cstheme="majorBidi"/>
          <w:b/>
          <w:sz w:val="25"/>
        </w:rPr>
        <w:t>Appendix: Source Directory</w:t>
      </w:r>
    </w:p>
    <w:p w14:paraId="29FC41DA"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A1. </w:t>
      </w:r>
      <w:proofErr w:type="spellStart"/>
      <w:r w:rsidRPr="005B4BE4">
        <w:rPr>
          <w:rFonts w:asciiTheme="majorBidi" w:hAnsiTheme="majorBidi" w:cstheme="majorBidi"/>
          <w:b/>
          <w:sz w:val="20"/>
        </w:rPr>
        <w:t>DeFiLlama</w:t>
      </w:r>
      <w:proofErr w:type="spellEnd"/>
      <w:r w:rsidRPr="005B4BE4">
        <w:rPr>
          <w:rFonts w:asciiTheme="majorBidi" w:hAnsiTheme="majorBidi" w:cstheme="majorBidi"/>
          <w:b/>
          <w:sz w:val="20"/>
        </w:rPr>
        <w:t xml:space="preserve">, Aave protocol page. </w:t>
      </w:r>
      <w:r w:rsidRPr="005B4BE4">
        <w:rPr>
          <w:rFonts w:asciiTheme="majorBidi" w:hAnsiTheme="majorBidi" w:cstheme="majorBidi"/>
          <w:sz w:val="20"/>
        </w:rPr>
        <w:t>Used for fully diluted valuation, borrowed balances, annualized fees, annualized protocol revenue, treasury value, and treasury composition.</w:t>
      </w:r>
    </w:p>
    <w:p w14:paraId="4D770EC7" w14:textId="2BE4EABF" w:rsidR="005B4BE4" w:rsidRPr="005B4BE4" w:rsidRDefault="00545966" w:rsidP="005B4BE4">
      <w:pPr>
        <w:spacing w:after="40" w:line="240" w:lineRule="auto"/>
        <w:rPr>
          <w:rFonts w:asciiTheme="majorBidi" w:hAnsiTheme="majorBidi" w:cstheme="majorBidi"/>
        </w:rPr>
      </w:pPr>
      <w:hyperlink r:id="rId6" w:history="1">
        <w:r w:rsidR="005B4BE4" w:rsidRPr="00545966">
          <w:rPr>
            <w:rStyle w:val="Hyperlink"/>
            <w:rFonts w:asciiTheme="majorBidi" w:eastAsia="Arial" w:hAnsiTheme="majorBidi" w:cstheme="majorBidi"/>
            <w:sz w:val="19"/>
          </w:rPr>
          <w:t>https://defillama.com/protoco</w:t>
        </w:r>
        <w:r w:rsidR="005B4BE4" w:rsidRPr="00545966">
          <w:rPr>
            <w:rStyle w:val="Hyperlink"/>
            <w:rFonts w:asciiTheme="majorBidi" w:eastAsia="Arial" w:hAnsiTheme="majorBidi" w:cstheme="majorBidi"/>
            <w:sz w:val="19"/>
          </w:rPr>
          <w:t>l</w:t>
        </w:r>
        <w:r w:rsidR="005B4BE4" w:rsidRPr="00545966">
          <w:rPr>
            <w:rStyle w:val="Hyperlink"/>
            <w:rFonts w:asciiTheme="majorBidi" w:eastAsia="Arial" w:hAnsiTheme="majorBidi" w:cstheme="majorBidi"/>
            <w:sz w:val="19"/>
          </w:rPr>
          <w:t>/aave</w:t>
        </w:r>
      </w:hyperlink>
    </w:p>
    <w:p w14:paraId="6B7EC62D"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A2. Aave documentation. </w:t>
      </w:r>
      <w:r w:rsidRPr="005B4BE4">
        <w:rPr>
          <w:rFonts w:asciiTheme="majorBidi" w:hAnsiTheme="majorBidi" w:cstheme="majorBidi"/>
          <w:sz w:val="20"/>
        </w:rPr>
        <w:t>Used for reserve-factor language, risk architecture, and protocol mechanics.</w:t>
      </w:r>
    </w:p>
    <w:p w14:paraId="79859D09" w14:textId="66B7A0AB" w:rsidR="005B4BE4" w:rsidRPr="005B4BE4" w:rsidRDefault="00545966" w:rsidP="005B4BE4">
      <w:pPr>
        <w:spacing w:after="40" w:line="240" w:lineRule="auto"/>
        <w:rPr>
          <w:rFonts w:asciiTheme="majorBidi" w:hAnsiTheme="majorBidi" w:cstheme="majorBidi"/>
        </w:rPr>
      </w:pPr>
      <w:hyperlink r:id="rId7" w:history="1">
        <w:r w:rsidR="005B4BE4" w:rsidRPr="00545966">
          <w:rPr>
            <w:rStyle w:val="Hyperlink"/>
            <w:rFonts w:asciiTheme="majorBidi" w:eastAsia="Arial" w:hAnsiTheme="majorBidi" w:cstheme="majorBidi"/>
            <w:sz w:val="19"/>
          </w:rPr>
          <w:t>https://aave.com/docs/resources/glossary</w:t>
        </w:r>
      </w:hyperlink>
    </w:p>
    <w:p w14:paraId="15E669AB" w14:textId="12C71166" w:rsidR="005B4BE4" w:rsidRPr="005B4BE4" w:rsidRDefault="00545966" w:rsidP="005B4BE4">
      <w:pPr>
        <w:spacing w:after="40" w:line="240" w:lineRule="auto"/>
        <w:rPr>
          <w:rFonts w:asciiTheme="majorBidi" w:hAnsiTheme="majorBidi" w:cstheme="majorBidi"/>
        </w:rPr>
      </w:pPr>
      <w:hyperlink r:id="rId8" w:history="1">
        <w:r w:rsidR="005B4BE4" w:rsidRPr="00545966">
          <w:rPr>
            <w:rStyle w:val="Hyperlink"/>
            <w:rFonts w:asciiTheme="majorBidi" w:eastAsia="Arial" w:hAnsiTheme="majorBidi" w:cstheme="majorBidi"/>
            <w:sz w:val="19"/>
          </w:rPr>
          <w:t>https://aave.com/docs/resources/risks</w:t>
        </w:r>
      </w:hyperlink>
    </w:p>
    <w:p w14:paraId="4370814A"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A3. Aave governance materials. </w:t>
      </w:r>
      <w:r w:rsidRPr="005B4BE4">
        <w:rPr>
          <w:rFonts w:asciiTheme="majorBidi" w:hAnsiTheme="majorBidi" w:cstheme="majorBidi"/>
          <w:sz w:val="20"/>
        </w:rPr>
        <w:t xml:space="preserve">Used for buyback design, </w:t>
      </w:r>
      <w:proofErr w:type="spellStart"/>
      <w:r w:rsidRPr="005B4BE4">
        <w:rPr>
          <w:rFonts w:asciiTheme="majorBidi" w:hAnsiTheme="majorBidi" w:cstheme="majorBidi"/>
          <w:sz w:val="20"/>
        </w:rPr>
        <w:t>Aavenomics</w:t>
      </w:r>
      <w:proofErr w:type="spellEnd"/>
      <w:r w:rsidRPr="005B4BE4">
        <w:rPr>
          <w:rFonts w:asciiTheme="majorBidi" w:hAnsiTheme="majorBidi" w:cstheme="majorBidi"/>
          <w:sz w:val="20"/>
        </w:rPr>
        <w:t xml:space="preserve"> implementation, and the governance path from protocol economics to token support.</w:t>
      </w:r>
    </w:p>
    <w:p w14:paraId="4E1CC840" w14:textId="02554961" w:rsidR="005B4BE4" w:rsidRPr="005B4BE4" w:rsidRDefault="00545966" w:rsidP="005B4BE4">
      <w:pPr>
        <w:spacing w:after="40" w:line="240" w:lineRule="auto"/>
        <w:rPr>
          <w:rFonts w:asciiTheme="majorBidi" w:hAnsiTheme="majorBidi" w:cstheme="majorBidi"/>
        </w:rPr>
      </w:pPr>
      <w:hyperlink r:id="rId9" w:history="1">
        <w:r w:rsidR="005B4BE4" w:rsidRPr="00545966">
          <w:rPr>
            <w:rStyle w:val="Hyperlink"/>
            <w:rFonts w:asciiTheme="majorBidi" w:eastAsia="Arial" w:hAnsiTheme="majorBidi" w:cstheme="majorBidi"/>
            <w:sz w:val="19"/>
          </w:rPr>
          <w:t>https://governance.aave.com/t/arfc-aavenomics-implementation-part-one/21248</w:t>
        </w:r>
      </w:hyperlink>
    </w:p>
    <w:p w14:paraId="413B2D52"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A4. Aave ecosystem updates. </w:t>
      </w:r>
      <w:r w:rsidRPr="005B4BE4">
        <w:rPr>
          <w:rFonts w:asciiTheme="majorBidi" w:hAnsiTheme="majorBidi" w:cstheme="majorBidi"/>
          <w:sz w:val="20"/>
        </w:rPr>
        <w:t>Used for Horizon, wallet and fintech distribution, GHO revenue, and regulated distribution context.</w:t>
      </w:r>
    </w:p>
    <w:p w14:paraId="1646761D" w14:textId="200D6EA7" w:rsidR="005B4BE4" w:rsidRPr="005B4BE4" w:rsidRDefault="00545966" w:rsidP="005B4BE4">
      <w:pPr>
        <w:spacing w:after="40" w:line="240" w:lineRule="auto"/>
        <w:rPr>
          <w:rFonts w:asciiTheme="majorBidi" w:hAnsiTheme="majorBidi" w:cstheme="majorBidi"/>
        </w:rPr>
      </w:pPr>
      <w:hyperlink r:id="rId10" w:history="1">
        <w:r w:rsidR="005B4BE4" w:rsidRPr="00545966">
          <w:rPr>
            <w:rStyle w:val="Hyperlink"/>
            <w:rFonts w:asciiTheme="majorBidi" w:eastAsia="Arial" w:hAnsiTheme="majorBidi" w:cstheme="majorBidi"/>
            <w:sz w:val="19"/>
          </w:rPr>
          <w:t>https://aave.com/blog/aave-2025-recap</w:t>
        </w:r>
      </w:hyperlink>
    </w:p>
    <w:p w14:paraId="282DE96A" w14:textId="618B60E2" w:rsidR="005B4BE4" w:rsidRPr="005B4BE4" w:rsidRDefault="00545966" w:rsidP="005B4BE4">
      <w:pPr>
        <w:spacing w:after="40" w:line="240" w:lineRule="auto"/>
        <w:rPr>
          <w:rFonts w:asciiTheme="majorBidi" w:hAnsiTheme="majorBidi" w:cstheme="majorBidi"/>
        </w:rPr>
      </w:pPr>
      <w:hyperlink r:id="rId11" w:history="1">
        <w:r w:rsidR="005B4BE4" w:rsidRPr="00545966">
          <w:rPr>
            <w:rStyle w:val="Hyperlink"/>
            <w:rFonts w:asciiTheme="majorBidi" w:eastAsia="Arial" w:hAnsiTheme="majorBidi" w:cstheme="majorBidi"/>
            <w:sz w:val="19"/>
          </w:rPr>
          <w:t>https://aave.com/blog/aave-micar-approval</w:t>
        </w:r>
      </w:hyperlink>
    </w:p>
    <w:p w14:paraId="046047CD"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lang w:val="pt-BR"/>
        </w:rPr>
        <w:t xml:space="preserve">M1. </w:t>
      </w:r>
      <w:proofErr w:type="spellStart"/>
      <w:r w:rsidRPr="005B4BE4">
        <w:rPr>
          <w:rFonts w:asciiTheme="majorBidi" w:hAnsiTheme="majorBidi" w:cstheme="majorBidi"/>
          <w:b/>
          <w:sz w:val="20"/>
          <w:lang w:val="pt-BR"/>
        </w:rPr>
        <w:t>DeFiLlama</w:t>
      </w:r>
      <w:proofErr w:type="spellEnd"/>
      <w:r w:rsidRPr="005B4BE4">
        <w:rPr>
          <w:rFonts w:asciiTheme="majorBidi" w:hAnsiTheme="majorBidi" w:cstheme="majorBidi"/>
          <w:b/>
          <w:sz w:val="20"/>
          <w:lang w:val="pt-BR"/>
        </w:rPr>
        <w:t xml:space="preserve">, </w:t>
      </w:r>
      <w:proofErr w:type="spellStart"/>
      <w:r w:rsidRPr="005B4BE4">
        <w:rPr>
          <w:rFonts w:asciiTheme="majorBidi" w:hAnsiTheme="majorBidi" w:cstheme="majorBidi"/>
          <w:b/>
          <w:sz w:val="20"/>
          <w:lang w:val="pt-BR"/>
        </w:rPr>
        <w:t>Morpho</w:t>
      </w:r>
      <w:proofErr w:type="spellEnd"/>
      <w:r w:rsidRPr="005B4BE4">
        <w:rPr>
          <w:rFonts w:asciiTheme="majorBidi" w:hAnsiTheme="majorBidi" w:cstheme="majorBidi"/>
          <w:b/>
          <w:sz w:val="20"/>
          <w:lang w:val="pt-BR"/>
        </w:rPr>
        <w:t xml:space="preserve"> </w:t>
      </w:r>
      <w:proofErr w:type="spellStart"/>
      <w:r w:rsidRPr="005B4BE4">
        <w:rPr>
          <w:rFonts w:asciiTheme="majorBidi" w:hAnsiTheme="majorBidi" w:cstheme="majorBidi"/>
          <w:b/>
          <w:sz w:val="20"/>
          <w:lang w:val="pt-BR"/>
        </w:rPr>
        <w:t>protocol</w:t>
      </w:r>
      <w:proofErr w:type="spellEnd"/>
      <w:r w:rsidRPr="005B4BE4">
        <w:rPr>
          <w:rFonts w:asciiTheme="majorBidi" w:hAnsiTheme="majorBidi" w:cstheme="majorBidi"/>
          <w:b/>
          <w:sz w:val="20"/>
          <w:lang w:val="pt-BR"/>
        </w:rPr>
        <w:t xml:space="preserve"> </w:t>
      </w:r>
      <w:proofErr w:type="spellStart"/>
      <w:r w:rsidRPr="005B4BE4">
        <w:rPr>
          <w:rFonts w:asciiTheme="majorBidi" w:hAnsiTheme="majorBidi" w:cstheme="majorBidi"/>
          <w:b/>
          <w:sz w:val="20"/>
          <w:lang w:val="pt-BR"/>
        </w:rPr>
        <w:t>page</w:t>
      </w:r>
      <w:proofErr w:type="spellEnd"/>
      <w:r w:rsidRPr="005B4BE4">
        <w:rPr>
          <w:rFonts w:asciiTheme="majorBidi" w:hAnsiTheme="majorBidi" w:cstheme="majorBidi"/>
          <w:b/>
          <w:sz w:val="20"/>
          <w:lang w:val="pt-BR"/>
        </w:rPr>
        <w:t xml:space="preserve">. </w:t>
      </w:r>
      <w:r w:rsidRPr="005B4BE4">
        <w:rPr>
          <w:rFonts w:asciiTheme="majorBidi" w:hAnsiTheme="majorBidi" w:cstheme="majorBidi"/>
          <w:sz w:val="20"/>
        </w:rPr>
        <w:t>Used for fully diluted valuation, borrowed balances, annualized fees, annualized protocol revenue, treasury value, and float metrics.</w:t>
      </w:r>
    </w:p>
    <w:p w14:paraId="7CAF311A" w14:textId="5F57573F" w:rsidR="005B4BE4" w:rsidRPr="005B4BE4" w:rsidRDefault="00545966" w:rsidP="005B4BE4">
      <w:pPr>
        <w:spacing w:after="40" w:line="240" w:lineRule="auto"/>
        <w:rPr>
          <w:rFonts w:asciiTheme="majorBidi" w:hAnsiTheme="majorBidi" w:cstheme="majorBidi"/>
        </w:rPr>
      </w:pPr>
      <w:hyperlink r:id="rId12" w:history="1">
        <w:r w:rsidR="005B4BE4" w:rsidRPr="00545966">
          <w:rPr>
            <w:rStyle w:val="Hyperlink"/>
            <w:rFonts w:asciiTheme="majorBidi" w:eastAsia="Arial" w:hAnsiTheme="majorBidi" w:cstheme="majorBidi"/>
            <w:sz w:val="19"/>
          </w:rPr>
          <w:t>https://defillama.com/protocol/morpho</w:t>
        </w:r>
      </w:hyperlink>
    </w:p>
    <w:p w14:paraId="67FBA409"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M2. Morpho governance and token documentation. </w:t>
      </w:r>
      <w:r w:rsidRPr="005B4BE4">
        <w:rPr>
          <w:rFonts w:asciiTheme="majorBidi" w:hAnsiTheme="majorBidi" w:cstheme="majorBidi"/>
          <w:sz w:val="20"/>
        </w:rPr>
        <w:t>Used for fee-switch powers, governance scope, token allocation, and vesting schedules.</w:t>
      </w:r>
    </w:p>
    <w:p w14:paraId="3BD0D532" w14:textId="44920785" w:rsidR="005B4BE4" w:rsidRPr="005B4BE4" w:rsidRDefault="00545966" w:rsidP="005B4BE4">
      <w:pPr>
        <w:spacing w:after="40" w:line="240" w:lineRule="auto"/>
        <w:rPr>
          <w:rFonts w:asciiTheme="majorBidi" w:hAnsiTheme="majorBidi" w:cstheme="majorBidi"/>
        </w:rPr>
      </w:pPr>
      <w:hyperlink r:id="rId13" w:history="1">
        <w:r w:rsidR="005B4BE4" w:rsidRPr="00545966">
          <w:rPr>
            <w:rStyle w:val="Hyperlink"/>
            <w:rFonts w:asciiTheme="majorBidi" w:eastAsia="Arial" w:hAnsiTheme="majorBidi" w:cstheme="majorBidi"/>
            <w:sz w:val="19"/>
          </w:rPr>
          <w:t>https://docs.morpho.org/learn/governance/organization/</w:t>
        </w:r>
      </w:hyperlink>
    </w:p>
    <w:p w14:paraId="558FB688" w14:textId="10F97EC9" w:rsidR="005B4BE4" w:rsidRPr="005B4BE4" w:rsidRDefault="00545966" w:rsidP="005B4BE4">
      <w:pPr>
        <w:spacing w:after="40" w:line="240" w:lineRule="auto"/>
        <w:rPr>
          <w:rFonts w:asciiTheme="majorBidi" w:hAnsiTheme="majorBidi" w:cstheme="majorBidi"/>
        </w:rPr>
      </w:pPr>
      <w:hyperlink r:id="rId14" w:history="1">
        <w:r w:rsidR="005B4BE4" w:rsidRPr="00545966">
          <w:rPr>
            <w:rStyle w:val="Hyperlink"/>
            <w:rFonts w:asciiTheme="majorBidi" w:eastAsia="Arial" w:hAnsiTheme="majorBidi" w:cstheme="majorBidi"/>
            <w:sz w:val="19"/>
          </w:rPr>
          <w:t>https://docs.morpho.org/learn/governance/morpho-token/</w:t>
        </w:r>
      </w:hyperlink>
    </w:p>
    <w:p w14:paraId="055A514F"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M3. Morpho yield-fee documentation. </w:t>
      </w:r>
      <w:r w:rsidRPr="005B4BE4">
        <w:rPr>
          <w:rFonts w:asciiTheme="majorBidi" w:hAnsiTheme="majorBidi" w:cstheme="majorBidi"/>
          <w:sz w:val="20"/>
        </w:rPr>
        <w:t>Used for the current location of economics at the vault and curator layer.</w:t>
      </w:r>
    </w:p>
    <w:p w14:paraId="74EDE544" w14:textId="396B58D3" w:rsidR="005B4BE4" w:rsidRPr="005B4BE4" w:rsidRDefault="00545966" w:rsidP="005B4BE4">
      <w:pPr>
        <w:spacing w:after="40" w:line="240" w:lineRule="auto"/>
        <w:rPr>
          <w:rFonts w:asciiTheme="majorBidi" w:hAnsiTheme="majorBidi" w:cstheme="majorBidi"/>
        </w:rPr>
      </w:pPr>
      <w:hyperlink r:id="rId15" w:history="1">
        <w:r w:rsidR="005B4BE4" w:rsidRPr="00545966">
          <w:rPr>
            <w:rStyle w:val="Hyperlink"/>
            <w:rFonts w:asciiTheme="majorBidi" w:eastAsia="Arial" w:hAnsiTheme="majorBidi" w:cstheme="majorBidi"/>
            <w:sz w:val="19"/>
          </w:rPr>
          <w:t>https://docs.morpho.org/build/earn/concepts/yield-fees/</w:t>
        </w:r>
      </w:hyperlink>
    </w:p>
    <w:p w14:paraId="658149ED" w14:textId="77777777" w:rsidR="005B4BE4" w:rsidRPr="005B4BE4" w:rsidRDefault="005B4BE4" w:rsidP="005B4BE4">
      <w:pPr>
        <w:spacing w:after="0" w:line="259" w:lineRule="auto"/>
        <w:rPr>
          <w:rFonts w:asciiTheme="majorBidi" w:hAnsiTheme="majorBidi" w:cstheme="majorBidi"/>
        </w:rPr>
      </w:pPr>
      <w:r w:rsidRPr="005B4BE4">
        <w:rPr>
          <w:rFonts w:asciiTheme="majorBidi" w:hAnsiTheme="majorBidi" w:cstheme="majorBidi"/>
          <w:b/>
          <w:sz w:val="20"/>
        </w:rPr>
        <w:t xml:space="preserve">M4. Morpho ecosystem and roadmap materials. </w:t>
      </w:r>
      <w:r w:rsidRPr="005B4BE4">
        <w:rPr>
          <w:rFonts w:asciiTheme="majorBidi" w:hAnsiTheme="majorBidi" w:cstheme="majorBidi"/>
          <w:sz w:val="20"/>
        </w:rPr>
        <w:t>Used for partner references, growth metrics, and the 2026 roadmap including V2.</w:t>
      </w:r>
    </w:p>
    <w:p w14:paraId="2BFDFC6A" w14:textId="33C9A14F" w:rsidR="005B4BE4" w:rsidRPr="005B4BE4" w:rsidRDefault="00545966" w:rsidP="005B4BE4">
      <w:pPr>
        <w:spacing w:after="40" w:line="240" w:lineRule="auto"/>
        <w:rPr>
          <w:rFonts w:asciiTheme="majorBidi" w:hAnsiTheme="majorBidi" w:cstheme="majorBidi"/>
        </w:rPr>
      </w:pPr>
      <w:hyperlink r:id="rId16" w:history="1">
        <w:r w:rsidR="005B4BE4" w:rsidRPr="00545966">
          <w:rPr>
            <w:rStyle w:val="Hyperlink"/>
            <w:rFonts w:asciiTheme="majorBidi" w:eastAsia="Arial" w:hAnsiTheme="majorBidi" w:cstheme="majorBidi"/>
            <w:sz w:val="19"/>
          </w:rPr>
          <w:t>https://morpho.org/blog/the-morpho-effect-2025/</w:t>
        </w:r>
      </w:hyperlink>
    </w:p>
    <w:p w14:paraId="474B8E23" w14:textId="73D7732E" w:rsidR="005B4BE4" w:rsidRPr="005B4BE4" w:rsidRDefault="00545966" w:rsidP="00545966">
      <w:pPr>
        <w:rPr>
          <w:rFonts w:asciiTheme="majorBidi" w:hAnsiTheme="majorBidi" w:cstheme="majorBidi"/>
        </w:rPr>
      </w:pPr>
      <w:hyperlink r:id="rId17" w:history="1">
        <w:r w:rsidR="005B4BE4" w:rsidRPr="00545966">
          <w:rPr>
            <w:rStyle w:val="Hyperlink"/>
            <w:rFonts w:asciiTheme="majorBidi" w:eastAsia="Arial" w:hAnsiTheme="majorBidi" w:cstheme="majorBidi"/>
            <w:sz w:val="19"/>
          </w:rPr>
          <w:t>https://morpho.org/blog/morpho-2026</w:t>
        </w:r>
        <w:r w:rsidRPr="00545966">
          <w:rPr>
            <w:rStyle w:val="Hyperlink"/>
            <w:rFonts w:asciiTheme="majorBidi" w:hAnsiTheme="majorBidi" w:cstheme="majorBidi"/>
          </w:rPr>
          <w:t>/</w:t>
        </w:r>
      </w:hyperlink>
    </w:p>
    <w:p w14:paraId="11972B70" w14:textId="456BCF93" w:rsidR="00127DD9" w:rsidRPr="005B4BE4" w:rsidRDefault="00127DD9" w:rsidP="00545966">
      <w:pPr>
        <w:spacing w:after="20" w:line="240" w:lineRule="auto"/>
        <w:rPr>
          <w:rFonts w:asciiTheme="majorBidi" w:hAnsiTheme="majorBidi" w:cstheme="majorBidi"/>
        </w:rPr>
      </w:pPr>
    </w:p>
    <w:sectPr w:rsidR="00127DD9" w:rsidRPr="005B4BE4" w:rsidSect="00034616">
      <w:pgSz w:w="12240" w:h="15840"/>
      <w:pgMar w:top="864"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083146">
    <w:abstractNumId w:val="8"/>
  </w:num>
  <w:num w:numId="2" w16cid:durableId="1308515465">
    <w:abstractNumId w:val="6"/>
  </w:num>
  <w:num w:numId="3" w16cid:durableId="55930963">
    <w:abstractNumId w:val="5"/>
  </w:num>
  <w:num w:numId="4" w16cid:durableId="536086568">
    <w:abstractNumId w:val="4"/>
  </w:num>
  <w:num w:numId="5" w16cid:durableId="166559511">
    <w:abstractNumId w:val="7"/>
  </w:num>
  <w:num w:numId="6" w16cid:durableId="928080545">
    <w:abstractNumId w:val="3"/>
  </w:num>
  <w:num w:numId="7" w16cid:durableId="1763406999">
    <w:abstractNumId w:val="2"/>
  </w:num>
  <w:num w:numId="8" w16cid:durableId="1561165606">
    <w:abstractNumId w:val="1"/>
  </w:num>
  <w:num w:numId="9" w16cid:durableId="207828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DD9"/>
    <w:rsid w:val="0015074B"/>
    <w:rsid w:val="0028120D"/>
    <w:rsid w:val="0029639D"/>
    <w:rsid w:val="00326F90"/>
    <w:rsid w:val="0037609B"/>
    <w:rsid w:val="00543A2A"/>
    <w:rsid w:val="00545966"/>
    <w:rsid w:val="00573C5C"/>
    <w:rsid w:val="00575F2D"/>
    <w:rsid w:val="005A68C7"/>
    <w:rsid w:val="005B4BE4"/>
    <w:rsid w:val="00657493"/>
    <w:rsid w:val="006B6B82"/>
    <w:rsid w:val="00772289"/>
    <w:rsid w:val="007D197C"/>
    <w:rsid w:val="0081716F"/>
    <w:rsid w:val="00951954"/>
    <w:rsid w:val="00AA1D8D"/>
    <w:rsid w:val="00B47730"/>
    <w:rsid w:val="00C062B0"/>
    <w:rsid w:val="00CB0664"/>
    <w:rsid w:val="00CE74B0"/>
    <w:rsid w:val="00F630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D433C"/>
  <w14:defaultImageDpi w14:val="300"/>
  <w15:docId w15:val="{9F31D3AA-8465-9D41-8EDA-567E620F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5966"/>
    <w:rPr>
      <w:color w:val="0000FF" w:themeColor="hyperlink"/>
      <w:u w:val="single"/>
    </w:rPr>
  </w:style>
  <w:style w:type="character" w:styleId="UnresolvedMention">
    <w:name w:val="Unresolved Mention"/>
    <w:basedOn w:val="DefaultParagraphFont"/>
    <w:uiPriority w:val="99"/>
    <w:semiHidden/>
    <w:unhideWhenUsed/>
    <w:rsid w:val="00545966"/>
    <w:rPr>
      <w:color w:val="605E5C"/>
      <w:shd w:val="clear" w:color="auto" w:fill="E1DFDD"/>
    </w:rPr>
  </w:style>
  <w:style w:type="character" w:styleId="FollowedHyperlink">
    <w:name w:val="FollowedHyperlink"/>
    <w:basedOn w:val="DefaultParagraphFont"/>
    <w:uiPriority w:val="99"/>
    <w:semiHidden/>
    <w:unhideWhenUsed/>
    <w:rsid w:val="00545966"/>
    <w:rPr>
      <w:color w:val="800080" w:themeColor="followedHyperlink"/>
      <w:u w:val="single"/>
    </w:rPr>
  </w:style>
  <w:style w:type="paragraph" w:styleId="NormalWeb">
    <w:name w:val="Normal (Web)"/>
    <w:basedOn w:val="Normal"/>
    <w:uiPriority w:val="99"/>
    <w:unhideWhenUsed/>
    <w:rsid w:val="007D197C"/>
    <w:pPr>
      <w:spacing w:before="100" w:beforeAutospacing="1" w:after="100" w:afterAutospacing="1" w:line="240" w:lineRule="auto"/>
    </w:pPr>
    <w:rPr>
      <w:rFonts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ave.com/docs/resources/risks" TargetMode="External"/><Relationship Id="rId13" Type="http://schemas.openxmlformats.org/officeDocument/2006/relationships/hyperlink" Target="https://docs.morpho.org/learn/governance/organiz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ave.com/docs/resources/glossary" TargetMode="External"/><Relationship Id="rId12" Type="http://schemas.openxmlformats.org/officeDocument/2006/relationships/hyperlink" Target="https://defillama.com/protocol/morpho" TargetMode="External"/><Relationship Id="rId17" Type="http://schemas.openxmlformats.org/officeDocument/2006/relationships/hyperlink" Target="https://morpho.org/blog/morpho-2026/" TargetMode="External"/><Relationship Id="rId2" Type="http://schemas.openxmlformats.org/officeDocument/2006/relationships/numbering" Target="numbering.xml"/><Relationship Id="rId16" Type="http://schemas.openxmlformats.org/officeDocument/2006/relationships/hyperlink" Target="https://morpho.org/blog/the-morpho-effect-2025/" TargetMode="External"/><Relationship Id="rId1" Type="http://schemas.openxmlformats.org/officeDocument/2006/relationships/customXml" Target="../customXml/item1.xml"/><Relationship Id="rId6" Type="http://schemas.openxmlformats.org/officeDocument/2006/relationships/hyperlink" Target="https://defillama.com/protocol/aave" TargetMode="External"/><Relationship Id="rId11" Type="http://schemas.openxmlformats.org/officeDocument/2006/relationships/hyperlink" Target="https://aave.com/blog/aave-micar-approval" TargetMode="External"/><Relationship Id="rId5" Type="http://schemas.openxmlformats.org/officeDocument/2006/relationships/webSettings" Target="webSettings.xml"/><Relationship Id="rId15" Type="http://schemas.openxmlformats.org/officeDocument/2006/relationships/hyperlink" Target="https://docs.morpho.org/build/earn/concepts/yield-fees/" TargetMode="External"/><Relationship Id="rId10" Type="http://schemas.openxmlformats.org/officeDocument/2006/relationships/hyperlink" Target="https://aave.com/blog/aave-2025-reca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overnance.aave.com/t/arfc-aavenomics-implementation-part-one/21248" TargetMode="External"/><Relationship Id="rId14" Type="http://schemas.openxmlformats.org/officeDocument/2006/relationships/hyperlink" Target="https://docs.morpho.org/learn/governance/morpho-to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1830</Words>
  <Characters>10950</Characters>
  <Application>Microsoft Office Word</Application>
  <DocSecurity>0</DocSecurity>
  <Lines>304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Zishan Vaseem</cp:lastModifiedBy>
  <cp:revision>15</cp:revision>
  <dcterms:created xsi:type="dcterms:W3CDTF">2026-04-07T05:23:00Z</dcterms:created>
  <dcterms:modified xsi:type="dcterms:W3CDTF">2026-04-07T05:45:00Z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f7aec5552d679087bbd70036cc6df6a284f4c45ef9bdefeddeb982d6f17586e6</vt:lpwstr>
  </property>
</Properties>
</file>