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left"/>
      </w:pPr>
      <w:r>
        <w:rPr>
          <w:rFonts w:ascii="Aptos Display" w:hAnsi="Aptos Display"/>
          <w:b/>
          <w:color w:val="0D756D"/>
          <w:sz w:val="30"/>
        </w:rPr>
        <w:t>APOTIK</w:t>
      </w:r>
    </w:p>
    <w:p>
      <w:pPr>
        <w:pStyle w:val="Title"/>
      </w:pPr>
      <w:r>
        <w:t>Dokumen UST dan UAT</w:t>
        <w:br/>
        <w:t>Redesign Kasir Apotik</w:t>
      </w:r>
    </w:p>
    <w:p>
      <w:r>
        <w:rPr>
          <w:rFonts w:ascii="Aptos" w:hAnsi="Aptos"/>
          <w:color w:val="5D687C"/>
          <w:sz w:val="28"/>
        </w:rPr>
        <w:t>Verifikasi tampilan modern, responsif, keselamatan obat, dan regresi fungsi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c>
          <w:tcPr>
            <w:tcW w:type="dxa" w:w="5100"/>
            <w:shd w:fill="EEF7F5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Dokumen</w:t>
            </w:r>
          </w:p>
        </w:tc>
        <w:tc>
          <w:tcPr>
            <w:tcW w:type="dxa" w:w="5100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Dokumen UST dan UAT</w:t>
              <w:br/>
              <w:t>Redesign Kasir Apotik</w:t>
            </w:r>
          </w:p>
        </w:tc>
      </w:tr>
      <w:tr>
        <w:tc>
          <w:tcPr>
            <w:tcW w:type="dxa" w:w="5100"/>
            <w:shd w:fill="EEF7F5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Versi</w:t>
            </w:r>
          </w:p>
        </w:tc>
        <w:tc>
          <w:tcPr>
            <w:tcW w:type="dxa" w:w="5100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UI/UX V2 · 8 September 2026</w:t>
            </w:r>
          </w:p>
        </w:tc>
      </w:tr>
      <w:tr>
        <w:tc>
          <w:tcPr>
            <w:tcW w:type="dxa" w:w="5100"/>
            <w:shd w:fill="EEF7F5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Lingkungan</w:t>
            </w:r>
          </w:p>
        </w:tc>
        <w:tc>
          <w:tcPr>
            <w:tcW w:type="dxa" w:w="5100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Build Windows Apotik dan pengujian integrasi lokal</w:t>
            </w:r>
          </w:p>
        </w:tc>
      </w:tr>
      <w:tr>
        <w:tc>
          <w:tcPr>
            <w:tcW w:type="dxa" w:w="5100"/>
            <w:shd w:fill="EEF7F5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Status</w:t>
            </w:r>
          </w:p>
        </w:tc>
        <w:tc>
          <w:tcPr>
            <w:tcW w:type="dxa" w:w="5100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LULUS untuk build lokal · UAT live menunggu deploy frontend terbaru</w:t>
            </w:r>
          </w:p>
        </w:tc>
      </w:tr>
    </w:tbl>
    <w:p/>
    <w:p>
      <w:pPr>
        <w:spacing w:before="240"/>
      </w:pPr>
      <w:r>
        <w:rPr>
          <w:rFonts w:ascii="Aptos" w:hAnsi="Aptos"/>
          <w:color w:val="5D687C"/>
          <w:sz w:val="20"/>
        </w:rPr>
        <w:t>Dokumen ini mencatat hasil yang dapat direproduksi dari source code dan build lokal. UAT live pada server dilakukan setelah frontend versi ini dideploy.</w:t>
      </w:r>
    </w:p>
    <w:p>
      <w:r>
        <w:br w:type="page"/>
      </w:r>
    </w:p>
    <w:p>
      <w:pPr>
        <w:pStyle w:val="Heading1"/>
      </w:pPr>
      <w:r>
        <w:t>Ringkasan hasil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7F5"/>
            <w:tcBorders>
              <w:top w:val="single" w:sz="8" w:color="0D756D"/>
              <w:left w:val="single" w:sz="8" w:color="0D756D"/>
              <w:bottom w:val="single" w:sz="8" w:color="0D756D"/>
              <w:right w:val="single" w:sz="8" w:color="0D756D"/>
              <w:insideH w:val="single" w:sz="8" w:color="0D756D"/>
              <w:insideV w:val="single" w:sz="8" w:color="0D756D"/>
            </w:tcBorders>
          </w:tcPr>
          <w:p>
            <w:r>
              <w:rPr>
                <w:rFonts w:ascii="Aptos" w:hAnsi="Aptos"/>
                <w:b/>
                <w:color w:val="154F3B"/>
                <w:sz w:val="22"/>
              </w:rPr>
              <w:t>Kesimpulan</w:t>
              <w:br/>
            </w:r>
            <w:r>
              <w:rPr>
                <w:rFonts w:ascii="Aptos" w:hAnsi="Aptos"/>
                <w:sz w:val="19"/>
              </w:rPr>
              <w:t>Redesign UI/UX V2 telah diterapkan pada source code. Seluruh 1.073 tes regresi lulus, 76 tes terarah lulus, dan 5 skenario screenshot dengan 100 data lulus. Tampilan mempertahankan Tebus Resep pada layar 390 px, memakai katalog lazy, dan menampilkan penanda keselamatan tanpa bergantung pada warna saja.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762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Bukti</w:t>
            </w:r>
          </w:p>
        </w:tc>
        <w:tc>
          <w:tcPr>
            <w:tcW w:type="dxa" w:w="1247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Regresi penuh</w:t>
            </w:r>
          </w:p>
        </w:tc>
        <w:tc>
          <w:tcPr>
            <w:tcW w:type="dxa" w:w="4762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flutter test test · 1.073 kasus</w:t>
            </w:r>
          </w:p>
        </w:tc>
        <w:tc>
          <w:tcPr>
            <w:tcW w:type="dxa" w:w="1247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238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Tes redesign terarah</w:t>
            </w:r>
          </w:p>
        </w:tc>
        <w:tc>
          <w:tcPr>
            <w:tcW w:type="dxa" w:w="4762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POS, desain, gambar, shell · 76 kasus</w:t>
            </w:r>
          </w:p>
        </w:tc>
        <w:tc>
          <w:tcPr>
            <w:tcW w:type="dxa" w:w="1247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Golden visual</w:t>
            </w:r>
          </w:p>
        </w:tc>
        <w:tc>
          <w:tcPr>
            <w:tcW w:type="dxa" w:w="4762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Desktop, mobile, kartu, status · 10 gambar</w:t>
            </w:r>
          </w:p>
        </w:tc>
        <w:tc>
          <w:tcPr>
            <w:tcW w:type="dxa" w:w="1247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238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UAT 100 data</w:t>
            </w:r>
          </w:p>
        </w:tc>
        <w:tc>
          <w:tcPr>
            <w:tcW w:type="dxa" w:w="4762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1920, 1366, 768, 390, cart mobile · 5 skenario</w:t>
            </w:r>
          </w:p>
        </w:tc>
        <w:tc>
          <w:tcPr>
            <w:tcW w:type="dxa" w:w="1247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Analisis statis</w:t>
            </w:r>
          </w:p>
        </w:tc>
        <w:tc>
          <w:tcPr>
            <w:tcW w:type="dxa" w:w="4762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 error, 0 warning; 50 info non-blocking</w:t>
            </w:r>
          </w:p>
        </w:tc>
        <w:tc>
          <w:tcPr>
            <w:tcW w:type="dxa" w:w="1247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238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Build target</w:t>
            </w:r>
          </w:p>
        </w:tc>
        <w:tc>
          <w:tcPr>
            <w:tcW w:type="dxa" w:w="4762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Windows Apotik release</w:t>
            </w:r>
          </w:p>
        </w:tc>
        <w:tc>
          <w:tcPr>
            <w:tcW w:type="dxa" w:w="1247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t>Ruang lingkup dan dasar pengujian</w:t>
      </w:r>
    </w:p>
    <w:p>
      <w:r>
        <w:t>Pengujian membandingkan implementasi dengan paket Paket_Redesain_UI_UX_Apotik_Modern_2026. Fokusnya adalah layar Kasir Apotik, komponen kartu obat, gambar obat, breakpoint, navigasi mode, keranjang, aksesibilitas, dan perlindungan alur local-first. Pengujian ini tidak mengubah kontrak API atau aturan bisnis pembayaran.</w:t>
      </w:r>
    </w:p>
    <w:p>
      <w:pPr>
        <w:pStyle w:val="ListBullet"/>
        <w:spacing w:after="40"/>
      </w:pPr>
      <w:r>
        <w:t>Data uji berisi 100 obat dengan variasi bentuk sediaan, harga, stok, dan penanda keselamatan.</w:t>
      </w:r>
    </w:p>
    <w:p>
      <w:pPr>
        <w:pStyle w:val="ListBullet"/>
        <w:spacing w:after="40"/>
      </w:pPr>
      <w:r>
        <w:t>Lebar responsif diuji pada 560, 760, 960, 980, 1040, 1120, 1280, 1520, dan 1680 piksel melalui widget test.</w:t>
      </w:r>
    </w:p>
    <w:p>
      <w:pPr>
        <w:pStyle w:val="ListBullet"/>
        <w:spacing w:after="40"/>
      </w:pPr>
      <w:r>
        <w:t>Bukti gambar diambil pada 1920×1080, 1366×768, 768×1024, dan 390×844 piksel.</w:t>
      </w:r>
    </w:p>
    <w:p>
      <w:pPr>
        <w:pStyle w:val="ListBullet"/>
        <w:spacing w:after="40"/>
      </w:pPr>
      <w:r>
        <w:t>Mutasi sensitif tetap membutuhkan konfirmasi server; cache dipakai untuk data baca yang aman.</w:t>
      </w:r>
    </w:p>
    <w:p>
      <w:r>
        <w:br w:type="page"/>
      </w:r>
    </w:p>
    <w:p>
      <w:pPr>
        <w:pStyle w:val="Heading1"/>
      </w:pPr>
      <w:r>
        <w:t>Perubahan yang diterapkan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907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721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Perubahan</w:t>
            </w:r>
          </w:p>
        </w:tc>
        <w:tc>
          <w:tcPr>
            <w:tcW w:type="dxa" w:w="5102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Hasil yang terlihat</w:t>
            </w:r>
          </w:p>
        </w:tc>
      </w:tr>
      <w:tr>
        <w:tc>
          <w:tcPr>
            <w:tcW w:type="dxa" w:w="907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UI-01</w:t>
            </w:r>
          </w:p>
        </w:tc>
        <w:tc>
          <w:tcPr>
            <w:tcW w:type="dxa" w:w="272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Header fokus</w:t>
            </w:r>
          </w:p>
        </w:tc>
        <w:tc>
          <w:tcPr>
            <w:tcW w:type="dxa" w:w="5102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Dropdown duplikat dan FAB bantuan ganda dihilangkan; bantuan ringkas tetap ada.</w:t>
            </w:r>
          </w:p>
        </w:tc>
      </w:tr>
      <w:tr>
        <w:tc>
          <w:tcPr>
            <w:tcW w:type="dxa" w:w="907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UI-02</w:t>
            </w:r>
          </w:p>
        </w:tc>
        <w:tc>
          <w:tcPr>
            <w:tcW w:type="dxa" w:w="272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Navigasi transaksi</w:t>
            </w:r>
          </w:p>
        </w:tc>
        <w:tc>
          <w:tcPr>
            <w:tcW w:type="dxa" w:w="5102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OTC, Resep Dokter, Racikan, Produksi Farmasi, dan Tebus Resep dapat dijangkau.</w:t>
            </w:r>
          </w:p>
        </w:tc>
      </w:tr>
      <w:tr>
        <w:tc>
          <w:tcPr>
            <w:tcW w:type="dxa" w:w="907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UI-03</w:t>
            </w:r>
          </w:p>
        </w:tc>
        <w:tc>
          <w:tcPr>
            <w:tcW w:type="dxa" w:w="272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Filter cepat</w:t>
            </w:r>
          </w:p>
        </w:tc>
        <w:tc>
          <w:tcPr>
            <w:tcW w:type="dxa" w:w="5102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Semua stok, Tersedia, Stok menipis, bentuk sediaan, dan Perlu perhatian.</w:t>
            </w:r>
          </w:p>
        </w:tc>
      </w:tr>
      <w:tr>
        <w:tc>
          <w:tcPr>
            <w:tcW w:type="dxa" w:w="907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UI-04</w:t>
            </w:r>
          </w:p>
        </w:tc>
        <w:tc>
          <w:tcPr>
            <w:tcW w:type="dxa" w:w="272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Kartu obat</w:t>
            </w:r>
          </w:p>
        </w:tc>
        <w:tc>
          <w:tcPr>
            <w:tcW w:type="dxa" w:w="5102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Gambar, identitas, harga, stok, kode, risiko, dan tombol tambah tersusun konsisten.</w:t>
            </w:r>
          </w:p>
        </w:tc>
      </w:tr>
      <w:tr>
        <w:tc>
          <w:tcPr>
            <w:tcW w:type="dxa" w:w="907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UI-05</w:t>
            </w:r>
          </w:p>
        </w:tc>
        <w:tc>
          <w:tcPr>
            <w:tcW w:type="dxa" w:w="272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Urutan risiko</w:t>
            </w:r>
          </w:p>
        </w:tc>
        <w:tc>
          <w:tcPr>
            <w:tcW w:type="dxa" w:w="5102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High-alert, terkendali, golongan/Rx, LASA, cold-chain, lalu stok.</w:t>
            </w:r>
          </w:p>
        </w:tc>
      </w:tr>
      <w:tr>
        <w:tc>
          <w:tcPr>
            <w:tcW w:type="dxa" w:w="907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UI-06</w:t>
            </w:r>
          </w:p>
        </w:tc>
        <w:tc>
          <w:tcPr>
            <w:tcW w:type="dxa" w:w="272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Gambar obat</w:t>
            </w:r>
          </w:p>
        </w:tc>
        <w:tc>
          <w:tcPr>
            <w:tcW w:type="dxa" w:w="5102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Bytes lokal, path lokal, fotoUrls pertama, gambarUrl, lalu fallback bentuk sediaan.</w:t>
            </w:r>
          </w:p>
        </w:tc>
      </w:tr>
      <w:tr>
        <w:tc>
          <w:tcPr>
            <w:tcW w:type="dxa" w:w="907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UI-07</w:t>
            </w:r>
          </w:p>
        </w:tc>
        <w:tc>
          <w:tcPr>
            <w:tcW w:type="dxa" w:w="272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Katalog lazy</w:t>
            </w:r>
          </w:p>
        </w:tc>
        <w:tc>
          <w:tcPr>
            <w:tcW w:type="dxa" w:w="5102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Hanya baris yang terlihat dibangun; tinggi kartu mengikuti isi dan skala teks.</w:t>
            </w:r>
          </w:p>
        </w:tc>
      </w:tr>
      <w:tr>
        <w:tc>
          <w:tcPr>
            <w:tcW w:type="dxa" w:w="907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UI-08</w:t>
            </w:r>
          </w:p>
        </w:tc>
        <w:tc>
          <w:tcPr>
            <w:tcW w:type="dxa" w:w="272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Keranjang responsif</w:t>
            </w:r>
          </w:p>
        </w:tc>
        <w:tc>
          <w:tcPr>
            <w:tcW w:type="dxa" w:w="5102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Panel tetap di desktop dan ringkasan bawah hanya muncul saat cart ponsel berisi.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080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alur-pos-apoti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8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Diagram 1  Alur POS dan batas integritas local-first</w:t>
      </w:r>
    </w:p>
    <w:p>
      <w:r>
        <w:br w:type="page"/>
      </w:r>
    </w:p>
    <w:p>
      <w:pPr>
        <w:pStyle w:val="Heading1"/>
      </w:pPr>
      <w:r>
        <w:t>Matriks UST dan UAT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20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94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4535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Kriteria penerimaan</w:t>
            </w:r>
          </w:p>
        </w:tc>
        <w:tc>
          <w:tcPr>
            <w:tcW w:type="dxa" w:w="964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10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UST-01</w:t>
            </w:r>
          </w:p>
        </w:tc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Memuat 100 obat</w:t>
            </w:r>
          </w:p>
        </w:tc>
        <w:tc>
          <w:tcPr>
            <w:tcW w:type="dxa" w:w="45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Indikator menyatakan 100 dari 100</w:t>
            </w:r>
          </w:p>
        </w:tc>
        <w:tc>
          <w:tcPr>
            <w:tcW w:type="dxa" w:w="96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UST-02</w:t>
            </w:r>
          </w:p>
        </w:tc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Mode transaksi</w:t>
            </w:r>
          </w:p>
        </w:tc>
        <w:tc>
          <w:tcPr>
            <w:tcW w:type="dxa" w:w="45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Empat mode kasir aktif dan dapat dipilih</w:t>
            </w:r>
          </w:p>
        </w:tc>
        <w:tc>
          <w:tcPr>
            <w:tcW w:type="dxa" w:w="96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UST-03</w:t>
            </w:r>
          </w:p>
        </w:tc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Tebus Resep</w:t>
            </w:r>
          </w:p>
        </w:tc>
        <w:tc>
          <w:tcPr>
            <w:tcW w:type="dxa" w:w="45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Tampil pada lebar 390 px</w:t>
            </w:r>
          </w:p>
        </w:tc>
        <w:tc>
          <w:tcPr>
            <w:tcW w:type="dxa" w:w="96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UST-04</w:t>
            </w:r>
          </w:p>
        </w:tc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Desktop 1920</w:t>
            </w:r>
          </w:p>
        </w:tc>
        <w:tc>
          <w:tcPr>
            <w:tcW w:type="dxa" w:w="45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Katalog + panel keranjang tetap</w:t>
            </w:r>
          </w:p>
        </w:tc>
        <w:tc>
          <w:tcPr>
            <w:tcW w:type="dxa" w:w="96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UST-05</w:t>
            </w:r>
          </w:p>
        </w:tc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Laptop 1366</w:t>
            </w:r>
          </w:p>
        </w:tc>
        <w:tc>
          <w:tcPr>
            <w:tcW w:type="dxa" w:w="45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Katalog + panel keranjang tetap</w:t>
            </w:r>
          </w:p>
        </w:tc>
        <w:tc>
          <w:tcPr>
            <w:tcW w:type="dxa" w:w="96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UST-06</w:t>
            </w:r>
          </w:p>
        </w:tc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Tablet 768</w:t>
            </w:r>
          </w:p>
        </w:tc>
        <w:tc>
          <w:tcPr>
            <w:tcW w:type="dxa" w:w="45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Dua kolom, cart tidak memakan area katalog</w:t>
            </w:r>
          </w:p>
        </w:tc>
        <w:tc>
          <w:tcPr>
            <w:tcW w:type="dxa" w:w="96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UST-07</w:t>
            </w:r>
          </w:p>
        </w:tc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Mobile 390</w:t>
            </w:r>
          </w:p>
        </w:tc>
        <w:tc>
          <w:tcPr>
            <w:tcW w:type="dxa" w:w="45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Satu kolom, kontrol tetap dapat dijangkau</w:t>
            </w:r>
          </w:p>
        </w:tc>
        <w:tc>
          <w:tcPr>
            <w:tcW w:type="dxa" w:w="96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UST-08</w:t>
            </w:r>
          </w:p>
        </w:tc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Cart mobile</w:t>
            </w:r>
          </w:p>
        </w:tc>
        <w:tc>
          <w:tcPr>
            <w:tcW w:type="dxa" w:w="45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Ringkasan bawah muncul hanya setelah item dipilih</w:t>
            </w:r>
          </w:p>
        </w:tc>
        <w:tc>
          <w:tcPr>
            <w:tcW w:type="dxa" w:w="96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UST-09</w:t>
            </w:r>
          </w:p>
        </w:tc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Filter tersedia</w:t>
            </w:r>
          </w:p>
        </w:tc>
        <w:tc>
          <w:tcPr>
            <w:tcW w:type="dxa" w:w="45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Menyaring stok lebih dari nol</w:t>
            </w:r>
          </w:p>
        </w:tc>
        <w:tc>
          <w:tcPr>
            <w:tcW w:type="dxa" w:w="96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UST-10</w:t>
            </w:r>
          </w:p>
        </w:tc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Filter stok menipis</w:t>
            </w:r>
          </w:p>
        </w:tc>
        <w:tc>
          <w:tcPr>
            <w:tcW w:type="dxa" w:w="45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Menyaring item di bawah ambang</w:t>
            </w:r>
          </w:p>
        </w:tc>
        <w:tc>
          <w:tcPr>
            <w:tcW w:type="dxa" w:w="96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UST-11</w:t>
            </w:r>
          </w:p>
        </w:tc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Gambar lokal</w:t>
            </w:r>
          </w:p>
        </w:tc>
        <w:tc>
          <w:tcPr>
            <w:tcW w:type="dxa" w:w="45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Bytes/path lokal diprioritaskan</w:t>
            </w:r>
          </w:p>
        </w:tc>
        <w:tc>
          <w:tcPr>
            <w:tcW w:type="dxa" w:w="96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UST-12</w:t>
            </w:r>
          </w:p>
        </w:tc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Gambar jaringan</w:t>
            </w:r>
          </w:p>
        </w:tc>
        <w:tc>
          <w:tcPr>
            <w:tcW w:type="dxa" w:w="45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fotoUrls pertama mendahului gambarUrl</w:t>
            </w:r>
          </w:p>
        </w:tc>
        <w:tc>
          <w:tcPr>
            <w:tcW w:type="dxa" w:w="96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UST-13</w:t>
            </w:r>
          </w:p>
        </w:tc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Fallback gambar</w:t>
            </w:r>
          </w:p>
        </w:tc>
        <w:tc>
          <w:tcPr>
            <w:tcW w:type="dxa" w:w="45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Bentuk sediaan tetap memberi identitas visual</w:t>
            </w:r>
          </w:p>
        </w:tc>
        <w:tc>
          <w:tcPr>
            <w:tcW w:type="dxa" w:w="96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UST-14</w:t>
            </w:r>
          </w:p>
        </w:tc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Badge risiko</w:t>
            </w:r>
          </w:p>
        </w:tc>
        <w:tc>
          <w:tcPr>
            <w:tcW w:type="dxa" w:w="45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Ikon dan teks selalu tersedia</w:t>
            </w:r>
          </w:p>
        </w:tc>
        <w:tc>
          <w:tcPr>
            <w:tcW w:type="dxa" w:w="96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UST-15</w:t>
            </w:r>
          </w:p>
        </w:tc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Stok habis</w:t>
            </w:r>
          </w:p>
        </w:tc>
        <w:tc>
          <w:tcPr>
            <w:tcW w:type="dxa" w:w="45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Aksi tambah dinonaktifkan</w:t>
            </w:r>
          </w:p>
        </w:tc>
        <w:tc>
          <w:tcPr>
            <w:tcW w:type="dxa" w:w="96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UST-16</w:t>
            </w:r>
          </w:p>
        </w:tc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Item terkunci</w:t>
            </w:r>
          </w:p>
        </w:tc>
        <w:tc>
          <w:tcPr>
            <w:tcW w:type="dxa" w:w="45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Alasan ditampilkan dan tap ditolak</w:t>
            </w:r>
          </w:p>
        </w:tc>
        <w:tc>
          <w:tcPr>
            <w:tcW w:type="dxa" w:w="96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UST-17</w:t>
            </w:r>
          </w:p>
        </w:tc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Pembayaran</w:t>
            </w:r>
          </w:p>
        </w:tc>
        <w:tc>
          <w:tcPr>
            <w:tcW w:type="dxa" w:w="45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Gagal server mempertahankan cart</w:t>
            </w:r>
          </w:p>
        </w:tc>
        <w:tc>
          <w:tcPr>
            <w:tcW w:type="dxa" w:w="96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UST-18</w:t>
            </w:r>
          </w:p>
        </w:tc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Idempotensi</w:t>
            </w:r>
          </w:p>
        </w:tc>
        <w:tc>
          <w:tcPr>
            <w:tcW w:type="dxa" w:w="45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Kode sama dipakai saat retry gagal</w:t>
            </w:r>
          </w:p>
        </w:tc>
        <w:tc>
          <w:tcPr>
            <w:tcW w:type="dxa" w:w="96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UST-19</w:t>
            </w:r>
          </w:p>
        </w:tc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Cache katalog</w:t>
            </w:r>
          </w:p>
        </w:tc>
        <w:tc>
          <w:tcPr>
            <w:tcW w:type="dxa" w:w="45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Data cache diberi penanda usia</w:t>
            </w:r>
          </w:p>
        </w:tc>
        <w:tc>
          <w:tcPr>
            <w:tcW w:type="dxa" w:w="96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  <w:tr>
        <w:tc>
          <w:tcPr>
            <w:tcW w:type="dxa" w:w="10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UST-20</w:t>
            </w:r>
          </w:p>
        </w:tc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Regresi aplikasi</w:t>
            </w:r>
          </w:p>
        </w:tc>
        <w:tc>
          <w:tcPr>
            <w:tcW w:type="dxa" w:w="45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1.073 tes tanpa kegagalan</w:t>
            </w:r>
          </w:p>
        </w:tc>
        <w:tc>
          <w:tcPr>
            <w:tcW w:type="dxa" w:w="96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D756D"/>
                <w:sz w:val="15"/>
              </w:rPr>
              <w:t>PASS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Bukti visual desktop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kasir-modern-desktop-19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Gambar 1  Desktop 1920×1080 dengan 100 data dan panel keranjang tetap</w:t>
      </w:r>
    </w:p>
    <w:p>
      <w:r>
        <w:t>Pada lebar desktop, mode transaksi berada di panel kiri, pencarian dan katalog berada di tengah, serta keranjang berada di kanan. Informasi barcode tidak mendominasi kartu; kode tetap terbaca dan barcode lengkap tersedia melalui tooltip/detail.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0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asir-modern-laptop-136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Gambar 2  Laptop 1366×768 dengan katalog tiga kolom</w:t>
      </w:r>
    </w:p>
    <w:p>
      <w:r>
        <w:br w:type="page"/>
      </w:r>
    </w:p>
    <w:p>
      <w:pPr>
        <w:pStyle w:val="Heading1"/>
      </w:pPr>
      <w:r>
        <w:t>Bukti visual tablet dan ponsel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664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kasir-modern-tablet-7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664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Gambar 3  Tablet 768×1024 dengan dua kolom dan Tebus Resep terlihat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38248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kasir-modern-mobile-39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382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Katalog satu kolom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38248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kasir-modern-mobile-keranjang-39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382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Cart melekat saat berisi</w:t>
            </w:r>
          </w:p>
        </w:tc>
      </w:tr>
    </w:tbl>
    <w:p>
      <w:r>
        <w:t>Pada 390 piksel, Tebus Resep diletakkan pada baris tindakan tersendiri agar tidak hilang. Ringkasan keranjang tidak menutup katalog ketika kosong dan baru muncul setelah item dipilih.</w:t>
      </w:r>
    </w:p>
    <w:p>
      <w:r>
        <w:br w:type="page"/>
      </w:r>
    </w:p>
    <w:p>
      <w:pPr>
        <w:pStyle w:val="Heading1"/>
      </w:pPr>
      <w:r>
        <w:t>Matriks responsif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Lebar isi</w:t>
            </w:r>
          </w:p>
        </w:tc>
        <w:tc>
          <w:tcPr>
            <w:tcW w:type="dxa" w:w="2268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Komposisi</w:t>
            </w:r>
          </w:p>
        </w:tc>
        <w:tc>
          <w:tcPr>
            <w:tcW w:type="dxa" w:w="2268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Katalog</w:t>
            </w:r>
          </w:p>
        </w:tc>
        <w:tc>
          <w:tcPr>
            <w:tcW w:type="dxa" w:w="2835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Keranjang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&lt; 600 px</w:t>
            </w:r>
          </w:p>
        </w:tc>
        <w:tc>
          <w:tcPr>
            <w:tcW w:type="dxa" w:w="2268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Satu area</w:t>
            </w:r>
          </w:p>
        </w:tc>
        <w:tc>
          <w:tcPr>
            <w:tcW w:type="dxa" w:w="2268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kolom</w:t>
            </w:r>
          </w:p>
        </w:tc>
        <w:tc>
          <w:tcPr>
            <w:tcW w:type="dxa" w:w="28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Ringkasan bawah saat berisi</w:t>
            </w:r>
          </w:p>
        </w:tc>
      </w:tr>
      <w:tr>
        <w:tc>
          <w:tcPr>
            <w:tcW w:type="dxa" w:w="170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600–979 px</w:t>
            </w:r>
          </w:p>
        </w:tc>
        <w:tc>
          <w:tcPr>
            <w:tcW w:type="dxa" w:w="2268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Satu/dua area</w:t>
            </w:r>
          </w:p>
        </w:tc>
        <w:tc>
          <w:tcPr>
            <w:tcW w:type="dxa" w:w="2268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1–2 kolom</w:t>
            </w:r>
          </w:p>
        </w:tc>
        <w:tc>
          <w:tcPr>
            <w:tcW w:type="dxa" w:w="28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Sheet atau ringkasan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980–1519 px</w:t>
            </w:r>
          </w:p>
        </w:tc>
        <w:tc>
          <w:tcPr>
            <w:tcW w:type="dxa" w:w="2268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Dua area</w:t>
            </w:r>
          </w:p>
        </w:tc>
        <w:tc>
          <w:tcPr>
            <w:tcW w:type="dxa" w:w="2268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2–3 kolom</w:t>
            </w:r>
          </w:p>
        </w:tc>
        <w:tc>
          <w:tcPr>
            <w:tcW w:type="dxa" w:w="28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Panel tetap 335–360 px</w:t>
            </w:r>
          </w:p>
        </w:tc>
      </w:tr>
      <w:tr>
        <w:tc>
          <w:tcPr>
            <w:tcW w:type="dxa" w:w="170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≥ 1520 px</w:t>
            </w:r>
          </w:p>
        </w:tc>
        <w:tc>
          <w:tcPr>
            <w:tcW w:type="dxa" w:w="2268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Tiga area bila cukup</w:t>
            </w:r>
          </w:p>
        </w:tc>
        <w:tc>
          <w:tcPr>
            <w:tcW w:type="dxa" w:w="2268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3–4 kolom</w:t>
            </w:r>
          </w:p>
        </w:tc>
        <w:tc>
          <w:tcPr>
            <w:tcW w:type="dxa" w:w="28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Panel tetap</w:t>
            </w:r>
          </w:p>
        </w:tc>
      </w:tr>
    </w:tbl>
    <w:p>
      <w:pPr>
        <w:spacing w:after="0"/>
      </w:pPr>
    </w:p>
    <w:p>
      <w:pPr>
        <w:pStyle w:val="Heading2"/>
      </w:pPr>
      <w:r>
        <w:t>Keselamatan dan aksesibilitas</w:t>
      </w:r>
    </w:p>
    <w:p>
      <w:pPr>
        <w:pStyle w:val="ListBullet"/>
        <w:spacing w:after="40"/>
      </w:pPr>
      <w:r>
        <w:t>Setiap status memakai ikon dan teks; warna hanya memperkuat makna.</w:t>
      </w:r>
    </w:p>
    <w:p>
      <w:pPr>
        <w:pStyle w:val="ListBullet"/>
        <w:spacing w:after="40"/>
      </w:pPr>
      <w:r>
        <w:t>Nama obat dan kekuatan berada sebelum harga agar identifikasi tidak bergantung pada foto.</w:t>
      </w:r>
    </w:p>
    <w:p>
      <w:pPr>
        <w:pStyle w:val="ListBullet"/>
        <w:spacing w:after="40"/>
      </w:pPr>
      <w:r>
        <w:t>High-alert dan obat terkendali mendahului penanda komersial atau stok.</w:t>
      </w:r>
    </w:p>
    <w:p>
      <w:pPr>
        <w:pStyle w:val="ListBullet"/>
        <w:spacing w:after="40"/>
      </w:pPr>
      <w:r>
        <w:t>Tombol tambah berukuran minimal 44 piksel dan memiliki label semantik lengkap.</w:t>
      </w:r>
    </w:p>
    <w:p>
      <w:pPr>
        <w:pStyle w:val="ListBullet"/>
        <w:spacing w:after="40"/>
      </w:pPr>
      <w:r>
        <w:t>Kartu mengikuti tinggi konten sehingga badge banyak dan skala teks tidak dipotong.</w:t>
      </w:r>
    </w:p>
    <w:p>
      <w:pPr>
        <w:pStyle w:val="ListBullet"/>
        <w:spacing w:after="40"/>
      </w:pPr>
      <w:r>
        <w:t>Foto adalah bantuan visual. Kasir tetap memverifikasi nama, kekuatan, bentuk, kode, dan batch.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863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data-konseptual-apoti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8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Diagram 2  Hubungan data konseptual POS Apotik</w:t>
      </w:r>
    </w:p>
    <w:p>
      <w:r>
        <w:br w:type="page"/>
      </w:r>
    </w:p>
    <w:p>
      <w:pPr>
        <w:pStyle w:val="Heading1"/>
      </w:pPr>
      <w:r>
        <w:t>Kesiapan rilis dan UAT live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EDFB"/>
            <w:tcBorders>
              <w:top w:val="single" w:sz="8" w:color="0D756D"/>
              <w:left w:val="single" w:sz="8" w:color="0D756D"/>
              <w:bottom w:val="single" w:sz="8" w:color="0D756D"/>
              <w:right w:val="single" w:sz="8" w:color="0D756D"/>
              <w:insideH w:val="single" w:sz="8" w:color="0D756D"/>
              <w:insideV w:val="single" w:sz="8" w:color="0D756D"/>
            </w:tcBorders>
          </w:tcPr>
          <w:p>
            <w:r>
              <w:rPr>
                <w:rFonts w:ascii="Aptos" w:hAnsi="Aptos"/>
                <w:b/>
                <w:color w:val="154F3B"/>
                <w:sz w:val="22"/>
              </w:rPr>
              <w:t>Status rilis</w:t>
              <w:br/>
            </w:r>
            <w:r>
              <w:rPr>
                <w:rFonts w:ascii="Aptos" w:hAnsi="Aptos"/>
                <w:sz w:val="19"/>
              </w:rPr>
              <w:t>Source code, pengujian, screenshot 100 data, dan build Windows release siap. Frontend versi ini harus dideploy sebelum UAT live. Dokumen tidak menyatakan tampilan server sudah berubah sebelum deploy tersebut selesai.</w:t>
            </w:r>
          </w:p>
        </w:tc>
      </w:tr>
    </w:tbl>
    <w:p>
      <w:pPr>
        <w:pStyle w:val="ListNumber"/>
        <w:spacing w:after="60"/>
      </w:pPr>
      <w:r>
        <w:t>Deploy frontend dari working tree/revisi yang memuat UI/UX V2. Backend tidak memerlukan WAR dari pekerjaan redesign ini.</w:t>
      </w:r>
    </w:p>
    <w:p>
      <w:pPr>
        <w:pStyle w:val="ListNumber"/>
        <w:spacing w:after="60"/>
      </w:pPr>
      <w:r>
        <w:t>Buka Kasir Apotik pada 1920×1080 dan 1366×768; pastikan katalog dan panel keranjang tampil tanpa overflow.</w:t>
      </w:r>
    </w:p>
    <w:p>
      <w:pPr>
        <w:pStyle w:val="ListNumber"/>
        <w:spacing w:after="60"/>
      </w:pPr>
      <w:r>
        <w:t>Ulangi pada layar kecil; pastikan tombol Tebus Resep terlihat sebelum menggulir dan cart bawah muncul setelah memilih obat.</w:t>
      </w:r>
    </w:p>
    <w:p>
      <w:pPr>
        <w:pStyle w:val="ListNumber"/>
        <w:spacing w:after="60"/>
      </w:pPr>
      <w:r>
        <w:t>Lakukan smoke test OTC: pilih batch, bayar, periksa nota dan pengurangan stok.</w:t>
      </w:r>
    </w:p>
    <w:p>
      <w:pPr>
        <w:pStyle w:val="ListNumber"/>
        <w:spacing w:after="60"/>
      </w:pPr>
      <w:r>
        <w:t>Lakukan smoke test Resep Dokter, Racikan, Produksi Farmasi, dan Tebus Resep tanpa mengubah aturan server.</w:t>
      </w:r>
    </w:p>
    <w:p>
      <w:pPr>
        <w:pStyle w:val="ListNumber"/>
        <w:spacing w:after="60"/>
      </w:pPr>
      <w:r>
        <w:t>Catat nomor build dan waktu deploy pada tabel persetujuan.</w:t>
      </w:r>
    </w:p>
    <w:p>
      <w:pPr>
        <w:pStyle w:val="Heading2"/>
      </w:pPr>
      <w:r>
        <w:t>Kriteria rollback</w:t>
      </w:r>
    </w:p>
    <w:p>
      <w:pPr>
        <w:pStyle w:val="ListBullet"/>
        <w:spacing w:after="40"/>
      </w:pPr>
      <w:r>
        <w:t>Mode transaksi atau Tebus Resep tidak dapat dijangkau pada resolusi yang didukung.</w:t>
      </w:r>
    </w:p>
    <w:p>
      <w:pPr>
        <w:pStyle w:val="ListBullet"/>
        <w:spacing w:after="40"/>
      </w:pPr>
      <w:r>
        <w:t>Pembayaran atau produksi mengubah perilaku server dibanding build sebelumnya.</w:t>
      </w:r>
    </w:p>
    <w:p>
      <w:pPr>
        <w:pStyle w:val="ListBullet"/>
        <w:spacing w:after="40"/>
      </w:pPr>
      <w:r>
        <w:t>Kartu obat menampilkan identitas, harga, stok, atau penanda risiko yang tidak sesuai respons API.</w:t>
      </w:r>
    </w:p>
    <w:p>
      <w:pPr>
        <w:pStyle w:val="ListBullet"/>
        <w:spacing w:after="40"/>
      </w:pPr>
      <w:r>
        <w:t>Overflow menghalangi tombol utama atau keranjang pada 390, 768, 1366, atau 1920 piksel.</w:t>
      </w:r>
    </w:p>
    <w:p>
      <w:pPr>
        <w:pStyle w:val="Heading2"/>
      </w:pPr>
      <w:r>
        <w:t>Persetujuan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Peran</w:t>
            </w:r>
          </w:p>
        </w:tc>
        <w:tc>
          <w:tcPr>
            <w:tcW w:type="dxa" w:w="2381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Nama</w:t>
            </w:r>
          </w:p>
        </w:tc>
        <w:tc>
          <w:tcPr>
            <w:tcW w:type="dxa" w:w="1814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2381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Keputusan</w:t>
            </w:r>
          </w:p>
        </w:tc>
      </w:tr>
      <w:tr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Pelaksana UST/UAT</w:t>
            </w:r>
          </w:p>
        </w:tc>
        <w:tc>
          <w:tcPr>
            <w:tcW w:type="dxa" w:w="238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  <w:tc>
          <w:tcPr>
            <w:tcW w:type="dxa" w:w="181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  <w:tc>
          <w:tcPr>
            <w:tcW w:type="dxa" w:w="238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Apoteker penanggung jawab</w:t>
            </w:r>
          </w:p>
        </w:tc>
        <w:tc>
          <w:tcPr>
            <w:tcW w:type="dxa" w:w="238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  <w:tc>
          <w:tcPr>
            <w:tcW w:type="dxa" w:w="181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  <w:tc>
          <w:tcPr>
            <w:tcW w:type="dxa" w:w="238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249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Pemilik proses</w:t>
            </w:r>
          </w:p>
        </w:tc>
        <w:tc>
          <w:tcPr>
            <w:tcW w:type="dxa" w:w="238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  <w:tc>
          <w:tcPr>
            <w:tcW w:type="dxa" w:w="1814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  <w:tc>
          <w:tcPr>
            <w:tcW w:type="dxa" w:w="238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249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Penyetuju rilis</w:t>
            </w:r>
          </w:p>
        </w:tc>
        <w:tc>
          <w:tcPr>
            <w:tcW w:type="dxa" w:w="238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  <w:tc>
          <w:tcPr>
            <w:tcW w:type="dxa" w:w="1814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  <w:tc>
          <w:tcPr>
            <w:tcW w:type="dxa" w:w="238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456"/>
      <w:gridCol w:w="3024"/>
      <w:gridCol w:w="3456"/>
    </w:tblGrid>
    <w:tr>
      <w:tc>
        <w:tcPr>
          <w:tcW w:type="dxa" w:w="3312"/>
        </w:tcPr>
        <w:p>
          <w:r>
            <w:rPr>
              <w:rFonts w:ascii="Aptos" w:hAnsi="Aptos"/>
              <w:color w:val="5D687C"/>
              <w:sz w:val="16"/>
            </w:rPr>
            <w:t>Apotik UI/UX V2</w:t>
          </w:r>
        </w:p>
      </w:tc>
      <w:tc>
        <w:tcPr>
          <w:tcW w:type="dxa" w:w="3312"/>
        </w:tcPr>
        <w:p>
          <w:r>
            <w:rPr>
              <w:rFonts w:ascii="Aptos" w:hAnsi="Aptos"/>
              <w:color w:val="5D687C"/>
              <w:sz w:val="16"/>
            </w:rPr>
            <w:t>8 September 2026</w:t>
          </w:r>
        </w:p>
      </w:tc>
      <w:tc>
        <w:tcPr>
          <w:tcW w:type="dxa" w:w="3312"/>
        </w:tcPr>
        <w:p>
          <w:pPr>
            <w:jc w:val="right"/>
          </w:pPr>
          <w:r>
            <w:rPr>
              <w:rFonts w:ascii="Aptos" w:hAnsi="Aptos"/>
              <w:color w:val="5D687C"/>
              <w:sz w:val="16"/>
            </w:rPr>
            <w:t xml:space="preserve">Halaman </w:t>
          </w:r>
          <w:r>
            <w:rPr>
              <w:rFonts w:ascii="Aptos" w:hAnsi="Aptos"/>
              <w:color w:val="5D687C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F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75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A4BB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54F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UST dan UAT Redesign Apotik</dc:title>
  <dc:subject>Hasil pengujian UI UX V2 Kasir Apotik</dc:subject>
  <dc:creator>Tim Implementasi Apotik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