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300"/>
      </w:pPr>
      <w:r>
        <w:rPr>
          <w:rFonts w:ascii="Calibri" w:hAnsi="Calibri"/>
          <w:b/>
          <w:color w:val="0F766E"/>
          <w:sz w:val="22"/>
        </w:rPr>
        <w:t>DOKUMEN PENERIMAAN PENGGUNA • DATA REAL SERVER DEMO</w:t>
      </w:r>
    </w:p>
    <w:p>
      <w:pPr>
        <w:pStyle w:val="Title"/>
        <w:spacing w:after="200"/>
      </w:pPr>
      <w:r>
        <w:t>UAT End-to-End &amp; Manual Operasional</w:t>
        <w:br/>
        <w:t>POS Apotik</w:t>
      </w:r>
    </w:p>
    <w:p>
      <w:pPr>
        <w:spacing w:after="480"/>
      </w:pPr>
      <w:r>
        <w:rPr>
          <w:rFonts w:ascii="Calibri" w:hAnsi="Calibri"/>
          <w:color w:val="475569"/>
          <w:sz w:val="30"/>
        </w:rPr>
        <w:t>Penjualan obat, racikan, pengadaan, stok, kedaluwarsa, jurnal, posting, dan laporan keuangan</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232"/>
            <w:vAlign w:val="center"/>
            <w:shd w:fill="075985"/>
          </w:tcPr>
          <w:p>
            <w:pPr>
              <w:spacing w:after="0"/>
            </w:pPr>
            <w:r/>
            <w:r>
              <w:rPr>
                <w:rFonts w:ascii="Calibri" w:hAnsi="Calibri"/>
                <w:b/>
                <w:color w:val="FFFFFF"/>
                <w:sz w:val="18"/>
              </w:rPr>
              <w:t>Atribut</w:t>
            </w:r>
          </w:p>
        </w:tc>
        <w:tc>
          <w:tcPr>
            <w:tcW w:type="dxa" w:w="6984"/>
            <w:vAlign w:val="center"/>
            <w:shd w:fill="075985"/>
          </w:tcPr>
          <w:p>
            <w:pPr>
              <w:spacing w:after="0"/>
            </w:pPr>
            <w:r/>
            <w:r>
              <w:rPr>
                <w:rFonts w:ascii="Calibri" w:hAnsi="Calibri"/>
                <w:b/>
                <w:color w:val="FFFFFF"/>
                <w:sz w:val="18"/>
              </w:rPr>
              <w:t>Nilai</w:t>
            </w:r>
          </w:p>
        </w:tc>
      </w:tr>
      <w:tr>
        <w:tc>
          <w:tcPr>
            <w:tcW w:type="dxa" w:w="2232"/>
            <w:vAlign w:val="center"/>
          </w:tcPr>
          <w:p>
            <w:pPr>
              <w:spacing w:after="0"/>
            </w:pPr>
            <w:r/>
            <w:r>
              <w:rPr>
                <w:rFonts w:ascii="Calibri" w:hAnsi="Calibri"/>
                <w:b w:val="0"/>
                <w:color w:val="172033"/>
                <w:sz w:val="17"/>
              </w:rPr>
              <w:t>Rilis</w:t>
            </w:r>
          </w:p>
        </w:tc>
        <w:tc>
          <w:tcPr>
            <w:tcW w:type="dxa" w:w="6984"/>
            <w:vAlign w:val="center"/>
          </w:tcPr>
          <w:p>
            <w:pPr>
              <w:spacing w:after="0"/>
            </w:pPr>
            <w:r/>
            <w:r>
              <w:rPr>
                <w:rFonts w:ascii="Calibri" w:hAnsi="Calibri"/>
                <w:b w:val="0"/>
                <w:color w:val="172033"/>
                <w:sz w:val="17"/>
              </w:rPr>
              <w:t>apotik-v1.34.23 • 1.34.23 (build 185)</w:t>
            </w:r>
          </w:p>
        </w:tc>
      </w:tr>
      <w:tr>
        <w:tc>
          <w:tcPr>
            <w:tcW w:type="dxa" w:w="2232"/>
            <w:vAlign w:val="center"/>
            <w:shd w:fill="F8FAFC"/>
          </w:tcPr>
          <w:p>
            <w:pPr>
              <w:spacing w:after="0"/>
            </w:pPr>
            <w:r/>
            <w:r>
              <w:rPr>
                <w:rFonts w:ascii="Calibri" w:hAnsi="Calibri"/>
                <w:b w:val="0"/>
                <w:color w:val="172033"/>
                <w:sz w:val="17"/>
              </w:rPr>
              <w:t>Tanggal uji</w:t>
            </w:r>
          </w:p>
        </w:tc>
        <w:tc>
          <w:tcPr>
            <w:tcW w:type="dxa" w:w="6984"/>
            <w:vAlign w:val="center"/>
            <w:shd w:fill="F8FAFC"/>
          </w:tcPr>
          <w:p>
            <w:pPr>
              <w:spacing w:after="0"/>
            </w:pPr>
            <w:r/>
            <w:r>
              <w:rPr>
                <w:rFonts w:ascii="Calibri" w:hAnsi="Calibri"/>
                <w:b w:val="0"/>
                <w:color w:val="172033"/>
                <w:sz w:val="17"/>
              </w:rPr>
              <w:t>4 September 2026</w:t>
            </w:r>
          </w:p>
        </w:tc>
      </w:tr>
      <w:tr>
        <w:tc>
          <w:tcPr>
            <w:tcW w:type="dxa" w:w="2232"/>
            <w:vAlign w:val="center"/>
          </w:tcPr>
          <w:p>
            <w:pPr>
              <w:spacing w:after="0"/>
            </w:pPr>
            <w:r/>
            <w:r>
              <w:rPr>
                <w:rFonts w:ascii="Calibri" w:hAnsi="Calibri"/>
                <w:b w:val="0"/>
                <w:color w:val="172033"/>
                <w:sz w:val="17"/>
              </w:rPr>
              <w:t>Target</w:t>
            </w:r>
          </w:p>
        </w:tc>
        <w:tc>
          <w:tcPr>
            <w:tcW w:type="dxa" w:w="6984"/>
            <w:vAlign w:val="center"/>
          </w:tcPr>
          <w:p>
            <w:pPr>
              <w:spacing w:after="0"/>
            </w:pPr>
            <w:r/>
            <w:r>
              <w:rPr>
                <w:rFonts w:ascii="Calibri" w:hAnsi="Calibri"/>
                <w:b w:val="0"/>
                <w:color w:val="172033"/>
                <w:sz w:val="17"/>
              </w:rPr>
              <w:t>https://demo.ecampus.id/ecampus/</w:t>
            </w:r>
          </w:p>
        </w:tc>
      </w:tr>
      <w:tr>
        <w:tc>
          <w:tcPr>
            <w:tcW w:type="dxa" w:w="2232"/>
            <w:vAlign w:val="center"/>
            <w:shd w:fill="F8FAFC"/>
          </w:tcPr>
          <w:p>
            <w:pPr>
              <w:spacing w:after="0"/>
            </w:pPr>
            <w:r/>
            <w:r>
              <w:rPr>
                <w:rFonts w:ascii="Calibri" w:hAnsi="Calibri"/>
                <w:b w:val="0"/>
                <w:color w:val="172033"/>
                <w:sz w:val="17"/>
              </w:rPr>
              <w:t>Volume</w:t>
            </w:r>
          </w:p>
        </w:tc>
        <w:tc>
          <w:tcPr>
            <w:tcW w:type="dxa" w:w="6984"/>
            <w:vAlign w:val="center"/>
            <w:shd w:fill="F8FAFC"/>
          </w:tcPr>
          <w:p>
            <w:pPr>
              <w:spacing w:after="0"/>
            </w:pPr>
            <w:r/>
            <w:r>
              <w:rPr>
                <w:rFonts w:ascii="Calibri" w:hAnsi="Calibri"/>
                <w:b w:val="0"/>
                <w:color w:val="172033"/>
                <w:sz w:val="17"/>
              </w:rPr>
              <w:t>100 transaksi per skenario; 100 dokumen per tahap pengadaan</w:t>
            </w:r>
          </w:p>
        </w:tc>
      </w:tr>
      <w:tr>
        <w:tc>
          <w:tcPr>
            <w:tcW w:type="dxa" w:w="2232"/>
            <w:vAlign w:val="center"/>
          </w:tcPr>
          <w:p>
            <w:pPr>
              <w:spacing w:after="0"/>
            </w:pPr>
            <w:r/>
            <w:r>
              <w:rPr>
                <w:rFonts w:ascii="Calibri" w:hAnsi="Calibri"/>
                <w:b w:val="0"/>
                <w:color w:val="172033"/>
                <w:sz w:val="17"/>
              </w:rPr>
              <w:t>Keputusan</w:t>
            </w:r>
          </w:p>
        </w:tc>
        <w:tc>
          <w:tcPr>
            <w:tcW w:type="dxa" w:w="6984"/>
            <w:vAlign w:val="center"/>
          </w:tcPr>
          <w:p>
            <w:pPr>
              <w:spacing w:after="0"/>
            </w:pPr>
            <w:r/>
            <w:r>
              <w:rPr>
                <w:rFonts w:ascii="Calibri" w:hAnsi="Calibri"/>
                <w:b w:val="0"/>
                <w:color w:val="172033"/>
                <w:sz w:val="17"/>
              </w:rPr>
              <w:t>LULUS BERSYARAT — layak UAT/pilot terkontrol, belum produksi tersign</w:t>
            </w:r>
          </w:p>
        </w:tc>
      </w:tr>
      <w:tr>
        <w:tc>
          <w:tcPr>
            <w:tcW w:type="dxa" w:w="2232"/>
            <w:vAlign w:val="center"/>
            <w:shd w:fill="F8FAFC"/>
          </w:tcPr>
          <w:p>
            <w:pPr>
              <w:spacing w:after="0"/>
            </w:pPr>
            <w:r/>
            <w:r>
              <w:rPr>
                <w:rFonts w:ascii="Calibri" w:hAnsi="Calibri"/>
                <w:b w:val="0"/>
                <w:color w:val="172033"/>
                <w:sz w:val="17"/>
              </w:rPr>
              <w:t>Artefak</w:t>
            </w:r>
          </w:p>
        </w:tc>
        <w:tc>
          <w:tcPr>
            <w:tcW w:type="dxa" w:w="6984"/>
            <w:vAlign w:val="center"/>
            <w:shd w:fill="F8FAFC"/>
          </w:tcPr>
          <w:p>
            <w:pPr>
              <w:spacing w:after="0"/>
            </w:pPr>
            <w:r/>
            <w:r>
              <w:rPr>
                <w:rFonts w:ascii="Calibri" w:hAnsi="Calibri"/>
                <w:b w:val="0"/>
                <w:color w:val="172033"/>
                <w:sz w:val="17"/>
              </w:rPr>
              <w:t>Word, PDF, PPTX, APK Android, installer Windows EXE</w:t>
            </w:r>
          </w:p>
        </w:tc>
      </w:tr>
    </w:tbl>
    <w:p/>
    <w:p>
      <w:pPr>
        <w:pStyle w:val="Caption"/>
      </w:pPr>
      <w:r>
        <w:t>Kerahasiaan dan keselamatan: data pasien pada layar publik harus tersamar. Data uji tidak boleh digunakan sebagai dasar terapi klinis. Dokumen ini membedakan PASS fungsional, PASS tampilan, dan blocker integrasi agar sign-off tidak menyesatkan.</w:t>
      </w:r>
    </w:p>
    <w:p>
      <w:r>
        <w:br w:type="page"/>
      </w:r>
    </w:p>
    <w:p>
      <w:pPr>
        <w:pStyle w:val="Heading1"/>
      </w:pPr>
      <w:r>
        <w:t>Ringkasan eksekutif</w:t>
      </w:r>
    </w:p>
    <w:p>
      <w:r>
        <w:t>UAT v1.34.23 dijalankan terhadap server demo.ecampus.id/ecampus menggunakan data bertanda rilis dan operasi idempoten. Run menghasilkan 100 transaksi obat jadi, 100 transaksi racikan, 100 transaksi gabungan, 100 rangkaian pengadaan pada setiap tahap PR–PO–BAST–tagihan–pembayaran, serta 100 jurnal pembayaran vendor yang terposting dan diverifikasi. Navigasi seluruh submenu Akuntansi dan enam laporan inti berhasil. Keputusan keseluruhan adalah LULUS BERSYARAT untuk UAT/pilot terkontrol. Produksi belum boleh dinyatakan siap karena katalog server hanya dua item, endpoint antrean farmasi belum terdeploy, laporan penjualan mengembalikan nol baris, beberapa jalur posting otomatis/saldo awal belum menghasilkan data yang dapat direkonsiliasi, dan artefak belum ditandatangani dengan keystore/sertifikat produksi.</w:t>
      </w:r>
    </w:p>
    <w:tbl>
      <w:tblPr>
        <w:tblStyle w:val="TableGrid"/>
        <w:tblW w:type="auto" w:w="0"/>
        <w:tblLook w:firstColumn="1" w:firstRow="1" w:lastColumn="0" w:lastRow="0" w:noHBand="0" w:noVBand="1" w:val="04A0"/>
      </w:tblPr>
      <w:tblGrid>
        <w:gridCol w:w="9360"/>
      </w:tblGrid>
      <w:tr>
        <w:tc>
          <w:tcPr>
            <w:tcW w:type="dxa" w:w="9360"/>
            <w:shd w:fill="EAF3F8"/>
          </w:tcPr>
          <w:p>
            <w:r>
              <w:rPr>
                <w:b/>
                <w:color w:val="B45309"/>
              </w:rPr>
              <w:t xml:space="preserve">Makna keputusan: </w:t>
            </w:r>
            <w:r>
              <w:t>Keberhasilan transaksi dan jurnal tidak menghapus blocker deployment. Setiap blocker mempunyai kriteria retest di bagian temuan dan checklist rilis.</w:t>
            </w:r>
          </w:p>
        </w:tc>
      </w:tr>
    </w:tbl>
    <w:p>
      <w:pPr>
        <w:spacing w:after="0"/>
      </w:pPr>
    </w:p>
    <w:p>
      <w:pPr>
        <w:pStyle w:val="Heading2"/>
      </w:pPr>
      <w:r>
        <w:t>Lingkungan, metode, dan volume</w:t>
      </w:r>
    </w:p>
    <w:tbl>
      <w:tblPr>
        <w:tblStyle w:val="TableGrid"/>
        <w:tblW w:type="auto" w:w="0"/>
        <w:tblLayout w:type="fixed"/>
        <w:tblLook w:firstColumn="1" w:firstRow="1" w:lastColumn="0" w:lastRow="0" w:noHBand="0" w:noVBand="1" w:val="04A0"/>
      </w:tblPr>
      <w:tblGrid>
        <w:gridCol w:w="4680"/>
        <w:gridCol w:w="4680"/>
      </w:tblGrid>
      <w:tr>
        <w:trPr>
          <w:tblHeader w:val="true"/>
        </w:trPr>
        <w:tc>
          <w:tcPr>
            <w:tcW w:type="dxa" w:w="2304"/>
            <w:vAlign w:val="center"/>
            <w:shd w:fill="075985"/>
          </w:tcPr>
          <w:p>
            <w:pPr>
              <w:spacing w:after="0"/>
            </w:pPr>
            <w:r/>
            <w:r>
              <w:rPr>
                <w:rFonts w:ascii="Calibri" w:hAnsi="Calibri"/>
                <w:b/>
                <w:color w:val="FFFFFF"/>
                <w:sz w:val="18"/>
              </w:rPr>
              <w:t>Aspek</w:t>
            </w:r>
          </w:p>
        </w:tc>
        <w:tc>
          <w:tcPr>
            <w:tcW w:type="dxa" w:w="6912"/>
            <w:vAlign w:val="center"/>
            <w:shd w:fill="075985"/>
          </w:tcPr>
          <w:p>
            <w:pPr>
              <w:spacing w:after="0"/>
            </w:pPr>
            <w:r/>
            <w:r>
              <w:rPr>
                <w:rFonts w:ascii="Calibri" w:hAnsi="Calibri"/>
                <w:b/>
                <w:color w:val="FFFFFF"/>
                <w:sz w:val="18"/>
              </w:rPr>
              <w:t>Nilai / hasil</w:t>
            </w:r>
          </w:p>
        </w:tc>
      </w:tr>
      <w:tr>
        <w:tc>
          <w:tcPr>
            <w:tcW w:type="dxa" w:w="2304"/>
            <w:vAlign w:val="center"/>
          </w:tcPr>
          <w:p>
            <w:pPr>
              <w:spacing w:after="0"/>
            </w:pPr>
            <w:r/>
            <w:r>
              <w:rPr>
                <w:rFonts w:ascii="Calibri" w:hAnsi="Calibri"/>
                <w:b w:val="0"/>
                <w:color w:val="172033"/>
                <w:sz w:val="17"/>
              </w:rPr>
              <w:t>Server</w:t>
            </w:r>
          </w:p>
        </w:tc>
        <w:tc>
          <w:tcPr>
            <w:tcW w:type="dxa" w:w="6912"/>
            <w:vAlign w:val="center"/>
          </w:tcPr>
          <w:p>
            <w:pPr>
              <w:spacing w:after="0"/>
            </w:pPr>
            <w:r/>
            <w:r>
              <w:rPr>
                <w:rFonts w:ascii="Calibri" w:hAnsi="Calibri"/>
                <w:b w:val="0"/>
                <w:color w:val="172033"/>
                <w:sz w:val="17"/>
              </w:rPr>
              <w:t>https://demo.ecampus.id/ecampus/ — tenant demo bersama</w:t>
            </w:r>
          </w:p>
        </w:tc>
      </w:tr>
      <w:tr>
        <w:tc>
          <w:tcPr>
            <w:tcW w:type="dxa" w:w="2304"/>
            <w:vAlign w:val="center"/>
            <w:shd w:fill="F8FAFC"/>
          </w:tcPr>
          <w:p>
            <w:pPr>
              <w:spacing w:after="0"/>
            </w:pPr>
            <w:r/>
            <w:r>
              <w:rPr>
                <w:rFonts w:ascii="Calibri" w:hAnsi="Calibri"/>
                <w:b w:val="0"/>
                <w:color w:val="172033"/>
                <w:sz w:val="17"/>
              </w:rPr>
              <w:t>Klien</w:t>
            </w:r>
          </w:p>
        </w:tc>
        <w:tc>
          <w:tcPr>
            <w:tcW w:type="dxa" w:w="6912"/>
            <w:vAlign w:val="center"/>
            <w:shd w:fill="F8FAFC"/>
          </w:tcPr>
          <w:p>
            <w:pPr>
              <w:spacing w:after="0"/>
            </w:pPr>
            <w:r/>
            <w:r>
              <w:rPr>
                <w:rFonts w:ascii="Calibri" w:hAnsi="Calibri"/>
                <w:b w:val="0"/>
                <w:color w:val="172033"/>
                <w:sz w:val="17"/>
              </w:rPr>
              <w:t>Flutter POS Apotik Windows; bukti 1600 × 900; API HTTPS</w:t>
            </w:r>
          </w:p>
        </w:tc>
      </w:tr>
      <w:tr>
        <w:tc>
          <w:tcPr>
            <w:tcW w:type="dxa" w:w="2304"/>
            <w:vAlign w:val="center"/>
          </w:tcPr>
          <w:p>
            <w:pPr>
              <w:spacing w:after="0"/>
            </w:pPr>
            <w:r/>
            <w:r>
              <w:rPr>
                <w:rFonts w:ascii="Calibri" w:hAnsi="Calibri"/>
                <w:b w:val="0"/>
                <w:color w:val="172033"/>
                <w:sz w:val="17"/>
              </w:rPr>
              <w:t>Versi target</w:t>
            </w:r>
          </w:p>
        </w:tc>
        <w:tc>
          <w:tcPr>
            <w:tcW w:type="dxa" w:w="6912"/>
            <w:vAlign w:val="center"/>
          </w:tcPr>
          <w:p>
            <w:pPr>
              <w:spacing w:after="0"/>
            </w:pPr>
            <w:r/>
            <w:r>
              <w:rPr>
                <w:rFonts w:ascii="Calibri" w:hAnsi="Calibri"/>
                <w:b w:val="0"/>
                <w:color w:val="172033"/>
                <w:sz w:val="17"/>
              </w:rPr>
              <w:t>1.34.23 (build 185)</w:t>
            </w:r>
          </w:p>
        </w:tc>
      </w:tr>
      <w:tr>
        <w:tc>
          <w:tcPr>
            <w:tcW w:type="dxa" w:w="2304"/>
            <w:vAlign w:val="center"/>
            <w:shd w:fill="F8FAFC"/>
          </w:tcPr>
          <w:p>
            <w:pPr>
              <w:spacing w:after="0"/>
            </w:pPr>
            <w:r/>
            <w:r>
              <w:rPr>
                <w:rFonts w:ascii="Calibri" w:hAnsi="Calibri"/>
                <w:b w:val="0"/>
                <w:color w:val="172033"/>
                <w:sz w:val="17"/>
              </w:rPr>
              <w:t>Penjualan</w:t>
            </w:r>
          </w:p>
        </w:tc>
        <w:tc>
          <w:tcPr>
            <w:tcW w:type="dxa" w:w="6912"/>
            <w:vAlign w:val="center"/>
            <w:shd w:fill="F8FAFC"/>
          </w:tcPr>
          <w:p>
            <w:pPr>
              <w:spacing w:after="0"/>
            </w:pPr>
            <w:r/>
            <w:r>
              <w:rPr>
                <w:rFonts w:ascii="Calibri" w:hAnsi="Calibri"/>
                <w:b w:val="0"/>
                <w:color w:val="172033"/>
                <w:sz w:val="17"/>
              </w:rPr>
              <w:t>100 obat jadi + 100 racikan + 100 gabungan = 300 PASS</w:t>
            </w:r>
          </w:p>
        </w:tc>
      </w:tr>
      <w:tr>
        <w:tc>
          <w:tcPr>
            <w:tcW w:type="dxa" w:w="2304"/>
            <w:vAlign w:val="center"/>
          </w:tcPr>
          <w:p>
            <w:pPr>
              <w:spacing w:after="0"/>
            </w:pPr>
            <w:r/>
            <w:r>
              <w:rPr>
                <w:rFonts w:ascii="Calibri" w:hAnsi="Calibri"/>
                <w:b w:val="0"/>
                <w:color w:val="172033"/>
                <w:sz w:val="17"/>
              </w:rPr>
              <w:t>Pengadaan</w:t>
            </w:r>
          </w:p>
        </w:tc>
        <w:tc>
          <w:tcPr>
            <w:tcW w:type="dxa" w:w="6912"/>
            <w:vAlign w:val="center"/>
          </w:tcPr>
          <w:p>
            <w:pPr>
              <w:spacing w:after="0"/>
            </w:pPr>
            <w:r/>
            <w:r>
              <w:rPr>
                <w:rFonts w:ascii="Calibri" w:hAnsi="Calibri"/>
                <w:b w:val="0"/>
                <w:color w:val="172033"/>
                <w:sz w:val="17"/>
              </w:rPr>
              <w:t>100 PR + 100 PO + 100 BAST + 100 tagihan + 100 pembayaran disetujui</w:t>
            </w:r>
          </w:p>
        </w:tc>
      </w:tr>
      <w:tr>
        <w:tc>
          <w:tcPr>
            <w:tcW w:type="dxa" w:w="2304"/>
            <w:vAlign w:val="center"/>
            <w:shd w:fill="F8FAFC"/>
          </w:tcPr>
          <w:p>
            <w:pPr>
              <w:spacing w:after="0"/>
            </w:pPr>
            <w:r/>
            <w:r>
              <w:rPr>
                <w:rFonts w:ascii="Calibri" w:hAnsi="Calibri"/>
                <w:b w:val="0"/>
                <w:color w:val="172033"/>
                <w:sz w:val="17"/>
              </w:rPr>
              <w:t>Akuntansi</w:t>
            </w:r>
          </w:p>
        </w:tc>
        <w:tc>
          <w:tcPr>
            <w:tcW w:type="dxa" w:w="6912"/>
            <w:vAlign w:val="center"/>
            <w:shd w:fill="F8FAFC"/>
          </w:tcPr>
          <w:p>
            <w:pPr>
              <w:spacing w:after="0"/>
            </w:pPr>
            <w:r/>
            <w:r>
              <w:rPr>
                <w:rFonts w:ascii="Calibri" w:hAnsi="Calibri"/>
                <w:b w:val="0"/>
                <w:color w:val="172033"/>
                <w:sz w:val="17"/>
              </w:rPr>
              <w:t>100 jurnal vendor dibuat, posted, dan diverifikasi</w:t>
            </w:r>
          </w:p>
        </w:tc>
      </w:tr>
      <w:tr>
        <w:tc>
          <w:tcPr>
            <w:tcW w:type="dxa" w:w="2304"/>
            <w:vAlign w:val="center"/>
          </w:tcPr>
          <w:p>
            <w:pPr>
              <w:spacing w:after="0"/>
            </w:pPr>
            <w:r/>
            <w:r>
              <w:rPr>
                <w:rFonts w:ascii="Calibri" w:hAnsi="Calibri"/>
                <w:b w:val="0"/>
                <w:color w:val="172033"/>
                <w:sz w:val="17"/>
              </w:rPr>
              <w:t>Master resep</w:t>
            </w:r>
          </w:p>
        </w:tc>
        <w:tc>
          <w:tcPr>
            <w:tcW w:type="dxa" w:w="6912"/>
            <w:vAlign w:val="center"/>
          </w:tcPr>
          <w:p>
            <w:pPr>
              <w:spacing w:after="0"/>
            </w:pPr>
            <w:r/>
            <w:r>
              <w:rPr>
                <w:rFonts w:ascii="Calibri" w:hAnsi="Calibri"/>
                <w:b w:val="0"/>
                <w:color w:val="172033"/>
                <w:sz w:val="17"/>
              </w:rPr>
              <w:t>100 dibaca per page; summary provision server menyatakan 5.000 tersedia</w:t>
            </w:r>
          </w:p>
        </w:tc>
      </w:tr>
      <w:tr>
        <w:tc>
          <w:tcPr>
            <w:tcW w:type="dxa" w:w="2304"/>
            <w:vAlign w:val="center"/>
            <w:shd w:fill="F8FAFC"/>
          </w:tcPr>
          <w:p>
            <w:pPr>
              <w:spacing w:after="0"/>
            </w:pPr>
            <w:r/>
            <w:r>
              <w:rPr>
                <w:rFonts w:ascii="Calibri" w:hAnsi="Calibri"/>
                <w:b w:val="0"/>
                <w:color w:val="172033"/>
                <w:sz w:val="17"/>
              </w:rPr>
              <w:t>Master katalog</w:t>
            </w:r>
          </w:p>
        </w:tc>
        <w:tc>
          <w:tcPr>
            <w:tcW w:type="dxa" w:w="6912"/>
            <w:vAlign w:val="center"/>
            <w:shd w:fill="F8FAFC"/>
          </w:tcPr>
          <w:p>
            <w:pPr>
              <w:spacing w:after="0"/>
            </w:pPr>
            <w:r/>
            <w:r>
              <w:rPr>
                <w:rFonts w:ascii="Calibri" w:hAnsi="Calibri"/>
                <w:b w:val="0"/>
                <w:color w:val="172033"/>
                <w:sz w:val="17"/>
              </w:rPr>
              <w:t>2 item terbaca — blocker terhadap target data 100+</w:t>
            </w:r>
          </w:p>
        </w:tc>
      </w:tr>
      <w:tr>
        <w:tc>
          <w:tcPr>
            <w:tcW w:type="dxa" w:w="2304"/>
            <w:vAlign w:val="center"/>
          </w:tcPr>
          <w:p>
            <w:pPr>
              <w:spacing w:after="0"/>
            </w:pPr>
            <w:r/>
            <w:r>
              <w:rPr>
                <w:rFonts w:ascii="Calibri" w:hAnsi="Calibri"/>
                <w:b w:val="0"/>
                <w:color w:val="172033"/>
                <w:sz w:val="17"/>
              </w:rPr>
              <w:t>Laporan</w:t>
            </w:r>
          </w:p>
        </w:tc>
        <w:tc>
          <w:tcPr>
            <w:tcW w:type="dxa" w:w="6912"/>
            <w:vAlign w:val="center"/>
          </w:tcPr>
          <w:p>
            <w:pPr>
              <w:spacing w:after="0"/>
            </w:pPr>
            <w:r/>
            <w:r>
              <w:rPr>
                <w:rFonts w:ascii="Calibri" w:hAnsi="Calibri"/>
                <w:b w:val="0"/>
                <w:color w:val="172033"/>
                <w:sz w:val="17"/>
              </w:rPr>
              <w:t>6 laporan keuangan render; laporan penjualan success/0 rows — blocker rekonsiliasi</w:t>
            </w:r>
          </w:p>
        </w:tc>
      </w:tr>
    </w:tbl>
    <w:p>
      <w:pPr>
        <w:pStyle w:val="Heading2"/>
      </w:pPr>
      <w:r>
        <w:t>Matriks keputusan</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504"/>
            <w:vAlign w:val="center"/>
            <w:shd w:fill="075985"/>
          </w:tcPr>
          <w:p>
            <w:pPr>
              <w:spacing w:after="0"/>
            </w:pPr>
            <w:r/>
            <w:r>
              <w:rPr>
                <w:rFonts w:ascii="Calibri" w:hAnsi="Calibri"/>
                <w:b/>
                <w:color w:val="FFFFFF"/>
                <w:sz w:val="18"/>
              </w:rPr>
              <w:t>No.</w:t>
            </w:r>
          </w:p>
        </w:tc>
        <w:tc>
          <w:tcPr>
            <w:tcW w:type="dxa" w:w="2304"/>
            <w:vAlign w:val="center"/>
            <w:shd w:fill="075985"/>
          </w:tcPr>
          <w:p>
            <w:pPr>
              <w:spacing w:after="0"/>
            </w:pPr>
            <w:r/>
            <w:r>
              <w:rPr>
                <w:rFonts w:ascii="Calibri" w:hAnsi="Calibri"/>
                <w:b/>
                <w:color w:val="FFFFFF"/>
                <w:sz w:val="18"/>
              </w:rPr>
              <w:t>Skenario</w:t>
            </w:r>
          </w:p>
        </w:tc>
        <w:tc>
          <w:tcPr>
            <w:tcW w:type="dxa" w:w="1152"/>
            <w:vAlign w:val="center"/>
            <w:shd w:fill="075985"/>
          </w:tcPr>
          <w:p>
            <w:pPr>
              <w:spacing w:after="0"/>
            </w:pPr>
            <w:r/>
            <w:r>
              <w:rPr>
                <w:rFonts w:ascii="Calibri" w:hAnsi="Calibri"/>
                <w:b/>
                <w:color w:val="FFFFFF"/>
                <w:sz w:val="18"/>
              </w:rPr>
              <w:t>Volume</w:t>
            </w:r>
          </w:p>
        </w:tc>
        <w:tc>
          <w:tcPr>
            <w:tcW w:type="dxa" w:w="1512"/>
            <w:vAlign w:val="center"/>
            <w:shd w:fill="075985"/>
          </w:tcPr>
          <w:p>
            <w:pPr>
              <w:spacing w:after="0"/>
            </w:pPr>
            <w:r/>
            <w:r>
              <w:rPr>
                <w:rFonts w:ascii="Calibri" w:hAnsi="Calibri"/>
                <w:b/>
                <w:color w:val="FFFFFF"/>
                <w:sz w:val="18"/>
              </w:rPr>
              <w:t>Status</w:t>
            </w:r>
          </w:p>
        </w:tc>
        <w:tc>
          <w:tcPr>
            <w:tcW w:type="dxa" w:w="3744"/>
            <w:vAlign w:val="center"/>
            <w:shd w:fill="075985"/>
          </w:tcPr>
          <w:p>
            <w:pPr>
              <w:spacing w:after="0"/>
            </w:pPr>
            <w:r/>
            <w:r>
              <w:rPr>
                <w:rFonts w:ascii="Calibri" w:hAnsi="Calibri"/>
                <w:b/>
                <w:color w:val="FFFFFF"/>
                <w:sz w:val="18"/>
              </w:rPr>
              <w:t>Temuan utama</w:t>
            </w:r>
          </w:p>
        </w:tc>
      </w:tr>
      <w:tr>
        <w:tc>
          <w:tcPr>
            <w:tcW w:type="dxa" w:w="504"/>
            <w:vAlign w:val="center"/>
          </w:tcPr>
          <w:p>
            <w:pPr>
              <w:spacing w:after="0"/>
            </w:pPr>
            <w:r/>
            <w:r>
              <w:rPr>
                <w:rFonts w:ascii="Calibri" w:hAnsi="Calibri"/>
                <w:b w:val="0"/>
                <w:color w:val="172033"/>
                <w:sz w:val="17"/>
              </w:rPr>
              <w:t>1</w:t>
            </w:r>
          </w:p>
        </w:tc>
        <w:tc>
          <w:tcPr>
            <w:tcW w:type="dxa" w:w="2304"/>
            <w:vAlign w:val="center"/>
          </w:tcPr>
          <w:p>
            <w:pPr>
              <w:spacing w:after="0"/>
            </w:pPr>
            <w:r/>
            <w:r>
              <w:rPr>
                <w:rFonts w:ascii="Calibri" w:hAnsi="Calibri"/>
                <w:b w:val="0"/>
                <w:color w:val="172033"/>
                <w:sz w:val="17"/>
              </w:rPr>
              <w:t>Obat jadi</w:t>
            </w:r>
          </w:p>
        </w:tc>
        <w:tc>
          <w:tcPr>
            <w:tcW w:type="dxa" w:w="1152"/>
            <w:vAlign w:val="center"/>
          </w:tcPr>
          <w:p>
            <w:pPr>
              <w:spacing w:after="0"/>
            </w:pPr>
            <w:r/>
            <w:r>
              <w:rPr>
                <w:rFonts w:ascii="Calibri" w:hAnsi="Calibri"/>
                <w:b w:val="0"/>
                <w:color w:val="172033"/>
                <w:sz w:val="17"/>
              </w:rPr>
              <w:t>100</w:t>
            </w:r>
          </w:p>
        </w:tc>
        <w:tc>
          <w:tcPr>
            <w:tcW w:type="dxa" w:w="1512"/>
            <w:vAlign w:val="center"/>
          </w:tcPr>
          <w:p>
            <w:pPr>
              <w:spacing w:after="0"/>
            </w:pPr>
            <w:r/>
            <w:r>
              <w:rPr>
                <w:rFonts w:ascii="Calibri" w:hAnsi="Calibri"/>
                <w:b w:val="0"/>
                <w:color w:val="172033"/>
                <w:sz w:val="17"/>
              </w:rPr>
              <w:t>PASS</w:t>
            </w:r>
          </w:p>
        </w:tc>
        <w:tc>
          <w:tcPr>
            <w:tcW w:type="dxa" w:w="3744"/>
            <w:vAlign w:val="center"/>
          </w:tcPr>
          <w:p>
            <w:pPr>
              <w:spacing w:after="0"/>
            </w:pPr>
            <w:r/>
            <w:r>
              <w:rPr>
                <w:rFonts w:ascii="Calibri" w:hAnsi="Calibri"/>
                <w:b w:val="0"/>
                <w:color w:val="172033"/>
                <w:sz w:val="17"/>
              </w:rPr>
              <w:t>Katalog volume belum terpenuhi</w:t>
            </w:r>
          </w:p>
        </w:tc>
      </w:tr>
      <w:tr>
        <w:tc>
          <w:tcPr>
            <w:tcW w:type="dxa" w:w="504"/>
            <w:vAlign w:val="center"/>
            <w:shd w:fill="F8FAFC"/>
          </w:tcPr>
          <w:p>
            <w:pPr>
              <w:spacing w:after="0"/>
            </w:pPr>
            <w:r/>
            <w:r>
              <w:rPr>
                <w:rFonts w:ascii="Calibri" w:hAnsi="Calibri"/>
                <w:b w:val="0"/>
                <w:color w:val="172033"/>
                <w:sz w:val="17"/>
              </w:rPr>
              <w:t>2</w:t>
            </w:r>
          </w:p>
        </w:tc>
        <w:tc>
          <w:tcPr>
            <w:tcW w:type="dxa" w:w="2304"/>
            <w:vAlign w:val="center"/>
            <w:shd w:fill="F8FAFC"/>
          </w:tcPr>
          <w:p>
            <w:pPr>
              <w:spacing w:after="0"/>
            </w:pPr>
            <w:r/>
            <w:r>
              <w:rPr>
                <w:rFonts w:ascii="Calibri" w:hAnsi="Calibri"/>
                <w:b w:val="0"/>
                <w:color w:val="172033"/>
                <w:sz w:val="17"/>
              </w:rPr>
              <w:t>Obat racik</w:t>
            </w:r>
          </w:p>
        </w:tc>
        <w:tc>
          <w:tcPr>
            <w:tcW w:type="dxa" w:w="1152"/>
            <w:vAlign w:val="center"/>
            <w:shd w:fill="F8FAFC"/>
          </w:tcPr>
          <w:p>
            <w:pPr>
              <w:spacing w:after="0"/>
            </w:pPr>
            <w:r/>
            <w:r>
              <w:rPr>
                <w:rFonts w:ascii="Calibri" w:hAnsi="Calibri"/>
                <w:b w:val="0"/>
                <w:color w:val="172033"/>
                <w:sz w:val="17"/>
              </w:rPr>
              <w:t>100</w:t>
            </w:r>
          </w:p>
        </w:tc>
        <w:tc>
          <w:tcPr>
            <w:tcW w:type="dxa" w:w="1512"/>
            <w:vAlign w:val="center"/>
            <w:shd w:fill="F8FAFC"/>
          </w:tcPr>
          <w:p>
            <w:pPr>
              <w:spacing w:after="0"/>
            </w:pPr>
            <w:r/>
            <w:r>
              <w:rPr>
                <w:rFonts w:ascii="Calibri" w:hAnsi="Calibri"/>
                <w:b w:val="0"/>
                <w:color w:val="172033"/>
                <w:sz w:val="17"/>
              </w:rPr>
              <w:t>PASS</w:t>
            </w:r>
          </w:p>
        </w:tc>
        <w:tc>
          <w:tcPr>
            <w:tcW w:type="dxa" w:w="3744"/>
            <w:vAlign w:val="center"/>
            <w:shd w:fill="F8FAFC"/>
          </w:tcPr>
          <w:p>
            <w:pPr>
              <w:spacing w:after="0"/>
            </w:pPr>
            <w:r/>
            <w:r>
              <w:rPr>
                <w:rFonts w:ascii="Calibri" w:hAnsi="Calibri"/>
                <w:b w:val="0"/>
                <w:color w:val="172033"/>
                <w:sz w:val="17"/>
              </w:rPr>
              <w:t>100 resep terbaca</w:t>
            </w:r>
          </w:p>
        </w:tc>
      </w:tr>
      <w:tr>
        <w:tc>
          <w:tcPr>
            <w:tcW w:type="dxa" w:w="504"/>
            <w:vAlign w:val="center"/>
          </w:tcPr>
          <w:p>
            <w:pPr>
              <w:spacing w:after="0"/>
            </w:pPr>
            <w:r/>
            <w:r>
              <w:rPr>
                <w:rFonts w:ascii="Calibri" w:hAnsi="Calibri"/>
                <w:b w:val="0"/>
                <w:color w:val="172033"/>
                <w:sz w:val="17"/>
              </w:rPr>
              <w:t>3</w:t>
            </w:r>
          </w:p>
        </w:tc>
        <w:tc>
          <w:tcPr>
            <w:tcW w:type="dxa" w:w="2304"/>
            <w:vAlign w:val="center"/>
          </w:tcPr>
          <w:p>
            <w:pPr>
              <w:spacing w:after="0"/>
            </w:pPr>
            <w:r/>
            <w:r>
              <w:rPr>
                <w:rFonts w:ascii="Calibri" w:hAnsi="Calibri"/>
                <w:b w:val="0"/>
                <w:color w:val="172033"/>
                <w:sz w:val="17"/>
              </w:rPr>
              <w:t>Gabungan</w:t>
            </w:r>
          </w:p>
        </w:tc>
        <w:tc>
          <w:tcPr>
            <w:tcW w:type="dxa" w:w="1152"/>
            <w:vAlign w:val="center"/>
          </w:tcPr>
          <w:p>
            <w:pPr>
              <w:spacing w:after="0"/>
            </w:pPr>
            <w:r/>
            <w:r>
              <w:rPr>
                <w:rFonts w:ascii="Calibri" w:hAnsi="Calibri"/>
                <w:b w:val="0"/>
                <w:color w:val="172033"/>
                <w:sz w:val="17"/>
              </w:rPr>
              <w:t>100</w:t>
            </w:r>
          </w:p>
        </w:tc>
        <w:tc>
          <w:tcPr>
            <w:tcW w:type="dxa" w:w="1512"/>
            <w:vAlign w:val="center"/>
          </w:tcPr>
          <w:p>
            <w:pPr>
              <w:spacing w:after="0"/>
            </w:pPr>
            <w:r/>
            <w:r>
              <w:rPr>
                <w:rFonts w:ascii="Calibri" w:hAnsi="Calibri"/>
                <w:b w:val="0"/>
                <w:color w:val="172033"/>
                <w:sz w:val="17"/>
              </w:rPr>
              <w:t>PASS transaksi</w:t>
            </w:r>
          </w:p>
        </w:tc>
        <w:tc>
          <w:tcPr>
            <w:tcW w:type="dxa" w:w="3744"/>
            <w:vAlign w:val="center"/>
          </w:tcPr>
          <w:p>
            <w:pPr>
              <w:spacing w:after="0"/>
            </w:pPr>
            <w:r/>
            <w:r>
              <w:rPr>
                <w:rFonts w:ascii="Calibri" w:hAnsi="Calibri"/>
                <w:b w:val="0"/>
                <w:color w:val="172033"/>
                <w:sz w:val="17"/>
              </w:rPr>
              <w:t>Antrean live BLOCKED</w:t>
            </w:r>
          </w:p>
        </w:tc>
      </w:tr>
      <w:tr>
        <w:tc>
          <w:tcPr>
            <w:tcW w:type="dxa" w:w="504"/>
            <w:vAlign w:val="center"/>
            <w:shd w:fill="F8FAFC"/>
          </w:tcPr>
          <w:p>
            <w:pPr>
              <w:spacing w:after="0"/>
            </w:pPr>
            <w:r/>
            <w:r>
              <w:rPr>
                <w:rFonts w:ascii="Calibri" w:hAnsi="Calibri"/>
                <w:b w:val="0"/>
                <w:color w:val="172033"/>
                <w:sz w:val="17"/>
              </w:rPr>
              <w:t>4</w:t>
            </w:r>
          </w:p>
        </w:tc>
        <w:tc>
          <w:tcPr>
            <w:tcW w:type="dxa" w:w="2304"/>
            <w:vAlign w:val="center"/>
            <w:shd w:fill="F8FAFC"/>
          </w:tcPr>
          <w:p>
            <w:pPr>
              <w:spacing w:after="0"/>
            </w:pPr>
            <w:r/>
            <w:r>
              <w:rPr>
                <w:rFonts w:ascii="Calibri" w:hAnsi="Calibri"/>
                <w:b w:val="0"/>
                <w:color w:val="172033"/>
                <w:sz w:val="17"/>
              </w:rPr>
              <w:t>PR–pembayaran</w:t>
            </w:r>
          </w:p>
        </w:tc>
        <w:tc>
          <w:tcPr>
            <w:tcW w:type="dxa" w:w="1152"/>
            <w:vAlign w:val="center"/>
            <w:shd w:fill="F8FAFC"/>
          </w:tcPr>
          <w:p>
            <w:pPr>
              <w:spacing w:after="0"/>
            </w:pPr>
            <w:r/>
            <w:r>
              <w:rPr>
                <w:rFonts w:ascii="Calibri" w:hAnsi="Calibri"/>
                <w:b w:val="0"/>
                <w:color w:val="172033"/>
                <w:sz w:val="17"/>
              </w:rPr>
              <w:t>100/tahap</w:t>
            </w:r>
          </w:p>
        </w:tc>
        <w:tc>
          <w:tcPr>
            <w:tcW w:type="dxa" w:w="1512"/>
            <w:vAlign w:val="center"/>
            <w:shd w:fill="F8FAFC"/>
          </w:tcPr>
          <w:p>
            <w:pPr>
              <w:spacing w:after="0"/>
            </w:pPr>
            <w:r/>
            <w:r>
              <w:rPr>
                <w:rFonts w:ascii="Calibri" w:hAnsi="Calibri"/>
                <w:b w:val="0"/>
                <w:color w:val="172033"/>
                <w:sz w:val="17"/>
              </w:rPr>
              <w:t>PASS bersyarat</w:t>
            </w:r>
          </w:p>
        </w:tc>
        <w:tc>
          <w:tcPr>
            <w:tcW w:type="dxa" w:w="3744"/>
            <w:vAlign w:val="center"/>
            <w:shd w:fill="F8FAFC"/>
          </w:tcPr>
          <w:p>
            <w:pPr>
              <w:spacing w:after="0"/>
            </w:pPr>
            <w:r/>
            <w:r>
              <w:rPr>
                <w:rFonts w:ascii="Calibri" w:hAnsi="Calibri"/>
                <w:b w:val="0"/>
                <w:color w:val="172033"/>
                <w:sz w:val="17"/>
              </w:rPr>
              <w:t>Filter pembayaran marker 0</w:t>
            </w:r>
          </w:p>
        </w:tc>
      </w:tr>
      <w:tr>
        <w:tc>
          <w:tcPr>
            <w:tcW w:type="dxa" w:w="504"/>
            <w:vAlign w:val="center"/>
          </w:tcPr>
          <w:p>
            <w:pPr>
              <w:spacing w:after="0"/>
            </w:pPr>
            <w:r/>
            <w:r>
              <w:rPr>
                <w:rFonts w:ascii="Calibri" w:hAnsi="Calibri"/>
                <w:b w:val="0"/>
                <w:color w:val="172033"/>
                <w:sz w:val="17"/>
              </w:rPr>
              <w:t>5</w:t>
            </w:r>
          </w:p>
        </w:tc>
        <w:tc>
          <w:tcPr>
            <w:tcW w:type="dxa" w:w="2304"/>
            <w:vAlign w:val="center"/>
          </w:tcPr>
          <w:p>
            <w:pPr>
              <w:spacing w:after="0"/>
            </w:pPr>
            <w:r/>
            <w:r>
              <w:rPr>
                <w:rFonts w:ascii="Calibri" w:hAnsi="Calibri"/>
                <w:b w:val="0"/>
                <w:color w:val="172033"/>
                <w:sz w:val="17"/>
              </w:rPr>
              <w:t>Stok</w:t>
            </w:r>
          </w:p>
        </w:tc>
        <w:tc>
          <w:tcPr>
            <w:tcW w:type="dxa" w:w="1152"/>
            <w:vAlign w:val="center"/>
          </w:tcPr>
          <w:p>
            <w:pPr>
              <w:spacing w:after="0"/>
            </w:pPr>
            <w:r/>
            <w:r>
              <w:rPr>
                <w:rFonts w:ascii="Calibri" w:hAnsi="Calibri"/>
                <w:b w:val="0"/>
                <w:color w:val="172033"/>
                <w:sz w:val="17"/>
              </w:rPr>
              <w:t>2 item</w:t>
            </w:r>
          </w:p>
        </w:tc>
        <w:tc>
          <w:tcPr>
            <w:tcW w:type="dxa" w:w="1512"/>
            <w:vAlign w:val="center"/>
          </w:tcPr>
          <w:p>
            <w:pPr>
              <w:spacing w:after="0"/>
            </w:pPr>
            <w:r/>
            <w:r>
              <w:rPr>
                <w:rFonts w:ascii="Calibri" w:hAnsi="Calibri"/>
                <w:b w:val="0"/>
                <w:color w:val="172033"/>
                <w:sz w:val="17"/>
              </w:rPr>
              <w:t>BLOCKED volume</w:t>
            </w:r>
          </w:p>
        </w:tc>
        <w:tc>
          <w:tcPr>
            <w:tcW w:type="dxa" w:w="3744"/>
            <w:vAlign w:val="center"/>
          </w:tcPr>
          <w:p>
            <w:pPr>
              <w:spacing w:after="0"/>
            </w:pPr>
            <w:r/>
            <w:r>
              <w:rPr>
                <w:rFonts w:ascii="Calibri" w:hAnsi="Calibri"/>
                <w:b w:val="0"/>
                <w:color w:val="172033"/>
                <w:sz w:val="17"/>
              </w:rPr>
              <w:t>Perlu seed/deploy katalog 100+</w:t>
            </w:r>
          </w:p>
        </w:tc>
      </w:tr>
      <w:tr>
        <w:tc>
          <w:tcPr>
            <w:tcW w:type="dxa" w:w="504"/>
            <w:vAlign w:val="center"/>
            <w:shd w:fill="F8FAFC"/>
          </w:tcPr>
          <w:p>
            <w:pPr>
              <w:spacing w:after="0"/>
            </w:pPr>
            <w:r/>
            <w:r>
              <w:rPr>
                <w:rFonts w:ascii="Calibri" w:hAnsi="Calibri"/>
                <w:b w:val="0"/>
                <w:color w:val="172033"/>
                <w:sz w:val="17"/>
              </w:rPr>
              <w:t>6</w:t>
            </w:r>
          </w:p>
        </w:tc>
        <w:tc>
          <w:tcPr>
            <w:tcW w:type="dxa" w:w="2304"/>
            <w:vAlign w:val="center"/>
            <w:shd w:fill="F8FAFC"/>
          </w:tcPr>
          <w:p>
            <w:pPr>
              <w:spacing w:after="0"/>
            </w:pPr>
            <w:r/>
            <w:r>
              <w:rPr>
                <w:rFonts w:ascii="Calibri" w:hAnsi="Calibri"/>
                <w:b w:val="0"/>
                <w:color w:val="172033"/>
                <w:sz w:val="17"/>
              </w:rPr>
              <w:t>Kedaluwarsa</w:t>
            </w:r>
          </w:p>
        </w:tc>
        <w:tc>
          <w:tcPr>
            <w:tcW w:type="dxa" w:w="1152"/>
            <w:vAlign w:val="center"/>
            <w:shd w:fill="F8FAFC"/>
          </w:tcPr>
          <w:p>
            <w:pPr>
              <w:spacing w:after="0"/>
            </w:pPr>
            <w:r/>
            <w:r>
              <w:rPr>
                <w:rFonts w:ascii="Calibri" w:hAnsi="Calibri"/>
                <w:b w:val="0"/>
                <w:color w:val="172033"/>
                <w:sz w:val="17"/>
              </w:rPr>
              <w:t>≥1 batch</w:t>
            </w:r>
          </w:p>
        </w:tc>
        <w:tc>
          <w:tcPr>
            <w:tcW w:type="dxa" w:w="1512"/>
            <w:vAlign w:val="center"/>
            <w:shd w:fill="F8FAFC"/>
          </w:tcPr>
          <w:p>
            <w:pPr>
              <w:spacing w:after="0"/>
            </w:pPr>
            <w:r/>
            <w:r>
              <w:rPr>
                <w:rFonts w:ascii="Calibri" w:hAnsi="Calibri"/>
                <w:b w:val="0"/>
                <w:color w:val="172033"/>
                <w:sz w:val="17"/>
              </w:rPr>
              <w:t>PASS monitor</w:t>
            </w:r>
          </w:p>
        </w:tc>
        <w:tc>
          <w:tcPr>
            <w:tcW w:type="dxa" w:w="3744"/>
            <w:vAlign w:val="center"/>
            <w:shd w:fill="F8FAFC"/>
          </w:tcPr>
          <w:p>
            <w:pPr>
              <w:spacing w:after="0"/>
            </w:pPr>
            <w:r/>
            <w:r>
              <w:rPr>
                <w:rFonts w:ascii="Calibri" w:hAnsi="Calibri"/>
                <w:b w:val="0"/>
                <w:color w:val="172033"/>
                <w:sz w:val="17"/>
              </w:rPr>
              <w:t>SOP disposisi perlu sign-off</w:t>
            </w:r>
          </w:p>
        </w:tc>
      </w:tr>
      <w:tr>
        <w:tc>
          <w:tcPr>
            <w:tcW w:type="dxa" w:w="504"/>
            <w:vAlign w:val="center"/>
          </w:tcPr>
          <w:p>
            <w:pPr>
              <w:spacing w:after="0"/>
            </w:pPr>
            <w:r/>
            <w:r>
              <w:rPr>
                <w:rFonts w:ascii="Calibri" w:hAnsi="Calibri"/>
                <w:b w:val="0"/>
                <w:color w:val="172033"/>
                <w:sz w:val="17"/>
              </w:rPr>
              <w:t>7</w:t>
            </w:r>
          </w:p>
        </w:tc>
        <w:tc>
          <w:tcPr>
            <w:tcW w:type="dxa" w:w="2304"/>
            <w:vAlign w:val="center"/>
          </w:tcPr>
          <w:p>
            <w:pPr>
              <w:spacing w:after="0"/>
            </w:pPr>
            <w:r/>
            <w:r>
              <w:rPr>
                <w:rFonts w:ascii="Calibri" w:hAnsi="Calibri"/>
                <w:b w:val="0"/>
                <w:color w:val="172033"/>
                <w:sz w:val="17"/>
              </w:rPr>
              <w:t>Jurnal vendor</w:t>
            </w:r>
          </w:p>
        </w:tc>
        <w:tc>
          <w:tcPr>
            <w:tcW w:type="dxa" w:w="1152"/>
            <w:vAlign w:val="center"/>
          </w:tcPr>
          <w:p>
            <w:pPr>
              <w:spacing w:after="0"/>
            </w:pPr>
            <w:r/>
            <w:r>
              <w:rPr>
                <w:rFonts w:ascii="Calibri" w:hAnsi="Calibri"/>
                <w:b w:val="0"/>
                <w:color w:val="172033"/>
                <w:sz w:val="17"/>
              </w:rPr>
              <w:t>100</w:t>
            </w:r>
          </w:p>
        </w:tc>
        <w:tc>
          <w:tcPr>
            <w:tcW w:type="dxa" w:w="1512"/>
            <w:vAlign w:val="center"/>
          </w:tcPr>
          <w:p>
            <w:pPr>
              <w:spacing w:after="0"/>
            </w:pPr>
            <w:r/>
            <w:r>
              <w:rPr>
                <w:rFonts w:ascii="Calibri" w:hAnsi="Calibri"/>
                <w:b w:val="0"/>
                <w:color w:val="172033"/>
                <w:sz w:val="17"/>
              </w:rPr>
              <w:t>PASS</w:t>
            </w:r>
          </w:p>
        </w:tc>
        <w:tc>
          <w:tcPr>
            <w:tcW w:type="dxa" w:w="3744"/>
            <w:vAlign w:val="center"/>
          </w:tcPr>
          <w:p>
            <w:pPr>
              <w:spacing w:after="0"/>
            </w:pPr>
            <w:r/>
            <w:r>
              <w:rPr>
                <w:rFonts w:ascii="Calibri" w:hAnsi="Calibri"/>
                <w:b w:val="0"/>
                <w:color w:val="172033"/>
                <w:sz w:val="17"/>
              </w:rPr>
              <w:t>Posting otomatis lain perlu retest</w:t>
            </w:r>
          </w:p>
        </w:tc>
      </w:tr>
      <w:tr>
        <w:tc>
          <w:tcPr>
            <w:tcW w:type="dxa" w:w="504"/>
            <w:vAlign w:val="center"/>
            <w:shd w:fill="F8FAFC"/>
          </w:tcPr>
          <w:p>
            <w:pPr>
              <w:spacing w:after="0"/>
            </w:pPr>
            <w:r/>
            <w:r>
              <w:rPr>
                <w:rFonts w:ascii="Calibri" w:hAnsi="Calibri"/>
                <w:b w:val="0"/>
                <w:color w:val="172033"/>
                <w:sz w:val="17"/>
              </w:rPr>
              <w:t>8</w:t>
            </w:r>
          </w:p>
        </w:tc>
        <w:tc>
          <w:tcPr>
            <w:tcW w:type="dxa" w:w="2304"/>
            <w:vAlign w:val="center"/>
            <w:shd w:fill="F8FAFC"/>
          </w:tcPr>
          <w:p>
            <w:pPr>
              <w:spacing w:after="0"/>
            </w:pPr>
            <w:r/>
            <w:r>
              <w:rPr>
                <w:rFonts w:ascii="Calibri" w:hAnsi="Calibri"/>
                <w:b w:val="0"/>
                <w:color w:val="172033"/>
                <w:sz w:val="17"/>
              </w:rPr>
              <w:t>Laporan jual/kulak</w:t>
            </w:r>
          </w:p>
        </w:tc>
        <w:tc>
          <w:tcPr>
            <w:tcW w:type="dxa" w:w="1152"/>
            <w:vAlign w:val="center"/>
            <w:shd w:fill="F8FAFC"/>
          </w:tcPr>
          <w:p>
            <w:pPr>
              <w:spacing w:after="0"/>
            </w:pPr>
            <w:r/>
            <w:r>
              <w:rPr>
                <w:rFonts w:ascii="Calibri" w:hAnsi="Calibri"/>
                <w:b w:val="0"/>
                <w:color w:val="172033"/>
                <w:sz w:val="17"/>
              </w:rPr>
              <w:t>300/100</w:t>
            </w:r>
          </w:p>
        </w:tc>
        <w:tc>
          <w:tcPr>
            <w:tcW w:type="dxa" w:w="1512"/>
            <w:vAlign w:val="center"/>
            <w:shd w:fill="F8FAFC"/>
          </w:tcPr>
          <w:p>
            <w:pPr>
              <w:spacing w:after="0"/>
            </w:pPr>
            <w:r/>
            <w:r>
              <w:rPr>
                <w:rFonts w:ascii="Calibri" w:hAnsi="Calibri"/>
                <w:b w:val="0"/>
                <w:color w:val="172033"/>
                <w:sz w:val="17"/>
              </w:rPr>
              <w:t>BLOCKED angka</w:t>
            </w:r>
          </w:p>
        </w:tc>
        <w:tc>
          <w:tcPr>
            <w:tcW w:type="dxa" w:w="3744"/>
            <w:vAlign w:val="center"/>
            <w:shd w:fill="F8FAFC"/>
          </w:tcPr>
          <w:p>
            <w:pPr>
              <w:spacing w:after="0"/>
            </w:pPr>
            <w:r/>
            <w:r>
              <w:rPr>
                <w:rFonts w:ascii="Calibri" w:hAnsi="Calibri"/>
                <w:b w:val="0"/>
                <w:color w:val="172033"/>
                <w:sz w:val="17"/>
              </w:rPr>
              <w:t>Penjualan success tetapi 0 rows</w:t>
            </w:r>
          </w:p>
        </w:tc>
      </w:tr>
      <w:tr>
        <w:tc>
          <w:tcPr>
            <w:tcW w:type="dxa" w:w="504"/>
            <w:vAlign w:val="center"/>
          </w:tcPr>
          <w:p>
            <w:pPr>
              <w:spacing w:after="0"/>
            </w:pPr>
            <w:r/>
            <w:r>
              <w:rPr>
                <w:rFonts w:ascii="Calibri" w:hAnsi="Calibri"/>
                <w:b w:val="0"/>
                <w:color w:val="172033"/>
                <w:sz w:val="17"/>
              </w:rPr>
              <w:t>9</w:t>
            </w:r>
          </w:p>
        </w:tc>
        <w:tc>
          <w:tcPr>
            <w:tcW w:type="dxa" w:w="2304"/>
            <w:vAlign w:val="center"/>
          </w:tcPr>
          <w:p>
            <w:pPr>
              <w:spacing w:after="0"/>
            </w:pPr>
            <w:r/>
            <w:r>
              <w:rPr>
                <w:rFonts w:ascii="Calibri" w:hAnsi="Calibri"/>
                <w:b w:val="0"/>
                <w:color w:val="172033"/>
                <w:sz w:val="17"/>
              </w:rPr>
              <w:t>Laporan keuangan</w:t>
            </w:r>
          </w:p>
        </w:tc>
        <w:tc>
          <w:tcPr>
            <w:tcW w:type="dxa" w:w="1152"/>
            <w:vAlign w:val="center"/>
          </w:tcPr>
          <w:p>
            <w:pPr>
              <w:spacing w:after="0"/>
            </w:pPr>
            <w:r/>
            <w:r>
              <w:rPr>
                <w:rFonts w:ascii="Calibri" w:hAnsi="Calibri"/>
                <w:b w:val="0"/>
                <w:color w:val="172033"/>
                <w:sz w:val="17"/>
              </w:rPr>
              <w:t>6 halaman</w:t>
            </w:r>
          </w:p>
        </w:tc>
        <w:tc>
          <w:tcPr>
            <w:tcW w:type="dxa" w:w="1512"/>
            <w:vAlign w:val="center"/>
          </w:tcPr>
          <w:p>
            <w:pPr>
              <w:spacing w:after="0"/>
            </w:pPr>
            <w:r/>
            <w:r>
              <w:rPr>
                <w:rFonts w:ascii="Calibri" w:hAnsi="Calibri"/>
                <w:b w:val="0"/>
                <w:color w:val="172033"/>
                <w:sz w:val="17"/>
              </w:rPr>
              <w:t>PASS render</w:t>
            </w:r>
          </w:p>
        </w:tc>
        <w:tc>
          <w:tcPr>
            <w:tcW w:type="dxa" w:w="3744"/>
            <w:vAlign w:val="center"/>
          </w:tcPr>
          <w:p>
            <w:pPr>
              <w:spacing w:after="0"/>
            </w:pPr>
            <w:r/>
            <w:r>
              <w:rPr>
                <w:rFonts w:ascii="Calibri" w:hAnsi="Calibri"/>
                <w:b w:val="0"/>
                <w:color w:val="172033"/>
                <w:sz w:val="17"/>
              </w:rPr>
              <w:t>Rekonsiliasi angka belum lulus</w:t>
            </w:r>
          </w:p>
        </w:tc>
      </w:tr>
    </w:tbl>
    <w:p>
      <w:pPr>
        <w:pStyle w:val="Heading2"/>
      </w:pPr>
      <w:r>
        <w:t>Pemetaan akun dari workbook pengguna</w:t>
      </w:r>
    </w:p>
    <w:p>
      <w:r>
        <w:t>Workbook cetak_data_260904124814.xlsx berisi 317 akun data tanpa duplikasi kode pada pembacaan UAT. Mapping berikut dipakai sebagai rujukan, bukan perubahan diam-diam terhadap kebijakan akuntansi pemilik.</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296"/>
            <w:vAlign w:val="center"/>
            <w:shd w:fill="075985"/>
          </w:tcPr>
          <w:p>
            <w:pPr>
              <w:spacing w:after="0"/>
            </w:pPr>
            <w:r/>
            <w:r>
              <w:rPr>
                <w:rFonts w:ascii="Calibri" w:hAnsi="Calibri"/>
                <w:b/>
                <w:color w:val="FFFFFF"/>
                <w:sz w:val="18"/>
              </w:rPr>
              <w:t>Kode</w:t>
            </w:r>
          </w:p>
        </w:tc>
        <w:tc>
          <w:tcPr>
            <w:tcW w:type="dxa" w:w="3888"/>
            <w:vAlign w:val="center"/>
            <w:shd w:fill="075985"/>
          </w:tcPr>
          <w:p>
            <w:pPr>
              <w:spacing w:after="0"/>
            </w:pPr>
            <w:r/>
            <w:r>
              <w:rPr>
                <w:rFonts w:ascii="Calibri" w:hAnsi="Calibri"/>
                <w:b/>
                <w:color w:val="FFFFFF"/>
                <w:sz w:val="18"/>
              </w:rPr>
              <w:t>Nama akun</w:t>
            </w:r>
          </w:p>
        </w:tc>
        <w:tc>
          <w:tcPr>
            <w:tcW w:type="dxa" w:w="3960"/>
            <w:vAlign w:val="center"/>
            <w:shd w:fill="075985"/>
          </w:tcPr>
          <w:p>
            <w:pPr>
              <w:spacing w:after="0"/>
            </w:pPr>
            <w:r/>
            <w:r>
              <w:rPr>
                <w:rFonts w:ascii="Calibri" w:hAnsi="Calibri"/>
                <w:b/>
                <w:color w:val="FFFFFF"/>
                <w:sz w:val="18"/>
              </w:rPr>
              <w:t>Penggunaan</w:t>
            </w:r>
          </w:p>
        </w:tc>
      </w:tr>
      <w:tr>
        <w:tc>
          <w:tcPr>
            <w:tcW w:type="dxa" w:w="1296"/>
            <w:vAlign w:val="center"/>
          </w:tcPr>
          <w:p>
            <w:pPr>
              <w:spacing w:after="0"/>
            </w:pPr>
            <w:r/>
            <w:r>
              <w:rPr>
                <w:rFonts w:ascii="Calibri" w:hAnsi="Calibri"/>
                <w:b w:val="0"/>
                <w:color w:val="172033"/>
                <w:sz w:val="17"/>
              </w:rPr>
              <w:t>111.101</w:t>
            </w:r>
          </w:p>
        </w:tc>
        <w:tc>
          <w:tcPr>
            <w:tcW w:type="dxa" w:w="3888"/>
            <w:vAlign w:val="center"/>
          </w:tcPr>
          <w:p>
            <w:pPr>
              <w:spacing w:after="0"/>
            </w:pPr>
            <w:r/>
            <w:r>
              <w:rPr>
                <w:rFonts w:ascii="Calibri" w:hAnsi="Calibri"/>
                <w:b w:val="0"/>
                <w:color w:val="172033"/>
                <w:sz w:val="17"/>
              </w:rPr>
              <w:t>KAS YAYASAN</w:t>
            </w:r>
          </w:p>
        </w:tc>
        <w:tc>
          <w:tcPr>
            <w:tcW w:type="dxa" w:w="3960"/>
            <w:vAlign w:val="center"/>
          </w:tcPr>
          <w:p>
            <w:pPr>
              <w:spacing w:after="0"/>
            </w:pPr>
            <w:r/>
            <w:r>
              <w:rPr>
                <w:rFonts w:ascii="Calibri" w:hAnsi="Calibri"/>
                <w:b w:val="0"/>
                <w:color w:val="172033"/>
                <w:sz w:val="17"/>
              </w:rPr>
              <w:t>Kredit pembayaran vendor UAT</w:t>
            </w:r>
          </w:p>
        </w:tc>
      </w:tr>
      <w:tr>
        <w:tc>
          <w:tcPr>
            <w:tcW w:type="dxa" w:w="1296"/>
            <w:vAlign w:val="center"/>
            <w:shd w:fill="F8FAFC"/>
          </w:tcPr>
          <w:p>
            <w:pPr>
              <w:spacing w:after="0"/>
            </w:pPr>
            <w:r/>
            <w:r>
              <w:rPr>
                <w:rFonts w:ascii="Calibri" w:hAnsi="Calibri"/>
                <w:b w:val="0"/>
                <w:color w:val="172033"/>
                <w:sz w:val="17"/>
              </w:rPr>
              <w:t>151.200</w:t>
            </w:r>
          </w:p>
        </w:tc>
        <w:tc>
          <w:tcPr>
            <w:tcW w:type="dxa" w:w="3888"/>
            <w:vAlign w:val="center"/>
            <w:shd w:fill="F8FAFC"/>
          </w:tcPr>
          <w:p>
            <w:pPr>
              <w:spacing w:after="0"/>
            </w:pPr>
            <w:r/>
            <w:r>
              <w:rPr>
                <w:rFonts w:ascii="Calibri" w:hAnsi="Calibri"/>
                <w:b w:val="0"/>
                <w:color w:val="172033"/>
                <w:sz w:val="17"/>
              </w:rPr>
              <w:t>PERSEDIAAN BARANG LAINNYA</w:t>
            </w:r>
          </w:p>
        </w:tc>
        <w:tc>
          <w:tcPr>
            <w:tcW w:type="dxa" w:w="3960"/>
            <w:vAlign w:val="center"/>
            <w:shd w:fill="F8FAFC"/>
          </w:tcPr>
          <w:p>
            <w:pPr>
              <w:spacing w:after="0"/>
            </w:pPr>
            <w:r/>
            <w:r>
              <w:rPr>
                <w:rFonts w:ascii="Calibri" w:hAnsi="Calibri"/>
                <w:b w:val="0"/>
                <w:color w:val="172033"/>
                <w:sz w:val="17"/>
              </w:rPr>
              <w:t>Persediaan bila belum ada subakun obat khusus</w:t>
            </w:r>
          </w:p>
        </w:tc>
      </w:tr>
      <w:tr>
        <w:tc>
          <w:tcPr>
            <w:tcW w:type="dxa" w:w="1296"/>
            <w:vAlign w:val="center"/>
          </w:tcPr>
          <w:p>
            <w:pPr>
              <w:spacing w:after="0"/>
            </w:pPr>
            <w:r/>
            <w:r>
              <w:rPr>
                <w:rFonts w:ascii="Calibri" w:hAnsi="Calibri"/>
                <w:b w:val="0"/>
                <w:color w:val="172033"/>
                <w:sz w:val="17"/>
              </w:rPr>
              <w:t>171.200</w:t>
            </w:r>
          </w:p>
        </w:tc>
        <w:tc>
          <w:tcPr>
            <w:tcW w:type="dxa" w:w="3888"/>
            <w:vAlign w:val="center"/>
          </w:tcPr>
          <w:p>
            <w:pPr>
              <w:spacing w:after="0"/>
            </w:pPr>
            <w:r/>
            <w:r>
              <w:rPr>
                <w:rFonts w:ascii="Calibri" w:hAnsi="Calibri"/>
                <w:b w:val="0"/>
                <w:color w:val="172033"/>
                <w:sz w:val="17"/>
              </w:rPr>
              <w:t>UANG MUKA PEMBELIAN</w:t>
            </w:r>
          </w:p>
        </w:tc>
        <w:tc>
          <w:tcPr>
            <w:tcW w:type="dxa" w:w="3960"/>
            <w:vAlign w:val="center"/>
          </w:tcPr>
          <w:p>
            <w:pPr>
              <w:spacing w:after="0"/>
            </w:pPr>
            <w:r/>
            <w:r>
              <w:rPr>
                <w:rFonts w:ascii="Calibri" w:hAnsi="Calibri"/>
                <w:b w:val="0"/>
                <w:color w:val="172033"/>
                <w:sz w:val="17"/>
              </w:rPr>
              <w:t>Termin/uang muka</w:t>
            </w:r>
          </w:p>
        </w:tc>
      </w:tr>
      <w:tr>
        <w:tc>
          <w:tcPr>
            <w:tcW w:type="dxa" w:w="1296"/>
            <w:vAlign w:val="center"/>
            <w:shd w:fill="F8FAFC"/>
          </w:tcPr>
          <w:p>
            <w:pPr>
              <w:spacing w:after="0"/>
            </w:pPr>
            <w:r/>
            <w:r>
              <w:rPr>
                <w:rFonts w:ascii="Calibri" w:hAnsi="Calibri"/>
                <w:b w:val="0"/>
                <w:color w:val="172033"/>
                <w:sz w:val="17"/>
              </w:rPr>
              <w:t>310.500</w:t>
            </w:r>
          </w:p>
        </w:tc>
        <w:tc>
          <w:tcPr>
            <w:tcW w:type="dxa" w:w="3888"/>
            <w:vAlign w:val="center"/>
            <w:shd w:fill="F8FAFC"/>
          </w:tcPr>
          <w:p>
            <w:pPr>
              <w:spacing w:after="0"/>
            </w:pPr>
            <w:r/>
            <w:r>
              <w:rPr>
                <w:rFonts w:ascii="Calibri" w:hAnsi="Calibri"/>
                <w:b w:val="0"/>
                <w:color w:val="172033"/>
                <w:sz w:val="17"/>
              </w:rPr>
              <w:t>HUTANG VENDOR</w:t>
            </w:r>
          </w:p>
        </w:tc>
        <w:tc>
          <w:tcPr>
            <w:tcW w:type="dxa" w:w="3960"/>
            <w:vAlign w:val="center"/>
            <w:shd w:fill="F8FAFC"/>
          </w:tcPr>
          <w:p>
            <w:pPr>
              <w:spacing w:after="0"/>
            </w:pPr>
            <w:r/>
            <w:r>
              <w:rPr>
                <w:rFonts w:ascii="Calibri" w:hAnsi="Calibri"/>
                <w:b w:val="0"/>
                <w:color w:val="172033"/>
                <w:sz w:val="17"/>
              </w:rPr>
              <w:t>Debit pelunasan vendor UAT</w:t>
            </w:r>
          </w:p>
        </w:tc>
      </w:tr>
      <w:tr>
        <w:tc>
          <w:tcPr>
            <w:tcW w:type="dxa" w:w="1296"/>
            <w:vAlign w:val="center"/>
          </w:tcPr>
          <w:p>
            <w:pPr>
              <w:spacing w:after="0"/>
            </w:pPr>
            <w:r/>
            <w:r>
              <w:rPr>
                <w:rFonts w:ascii="Calibri" w:hAnsi="Calibri"/>
                <w:b w:val="0"/>
                <w:color w:val="172033"/>
                <w:sz w:val="17"/>
              </w:rPr>
              <w:t>310.600</w:t>
            </w:r>
          </w:p>
        </w:tc>
        <w:tc>
          <w:tcPr>
            <w:tcW w:type="dxa" w:w="3888"/>
            <w:vAlign w:val="center"/>
          </w:tcPr>
          <w:p>
            <w:pPr>
              <w:spacing w:after="0"/>
            </w:pPr>
            <w:r/>
            <w:r>
              <w:rPr>
                <w:rFonts w:ascii="Calibri" w:hAnsi="Calibri"/>
                <w:b w:val="0"/>
                <w:color w:val="172033"/>
                <w:sz w:val="17"/>
              </w:rPr>
              <w:t>UTANG USAHA TOKO</w:t>
            </w:r>
          </w:p>
        </w:tc>
        <w:tc>
          <w:tcPr>
            <w:tcW w:type="dxa" w:w="3960"/>
            <w:vAlign w:val="center"/>
          </w:tcPr>
          <w:p>
            <w:pPr>
              <w:spacing w:after="0"/>
            </w:pPr>
            <w:r/>
            <w:r>
              <w:rPr>
                <w:rFonts w:ascii="Calibri" w:hAnsi="Calibri"/>
                <w:b w:val="0"/>
                <w:color w:val="172033"/>
                <w:sz w:val="17"/>
              </w:rPr>
              <w:t>Alternatif setelah keputusan owner</w:t>
            </w:r>
          </w:p>
        </w:tc>
      </w:tr>
      <w:tr>
        <w:tc>
          <w:tcPr>
            <w:tcW w:type="dxa" w:w="1296"/>
            <w:vAlign w:val="center"/>
            <w:shd w:fill="F8FAFC"/>
          </w:tcPr>
          <w:p>
            <w:pPr>
              <w:spacing w:after="0"/>
            </w:pPr>
            <w:r/>
            <w:r>
              <w:rPr>
                <w:rFonts w:ascii="Calibri" w:hAnsi="Calibri"/>
                <w:b w:val="0"/>
                <w:color w:val="172033"/>
                <w:sz w:val="17"/>
              </w:rPr>
              <w:t>310.301</w:t>
            </w:r>
          </w:p>
        </w:tc>
        <w:tc>
          <w:tcPr>
            <w:tcW w:type="dxa" w:w="3888"/>
            <w:vAlign w:val="center"/>
            <w:shd w:fill="F8FAFC"/>
          </w:tcPr>
          <w:p>
            <w:pPr>
              <w:spacing w:after="0"/>
            </w:pPr>
            <w:r/>
            <w:r>
              <w:rPr>
                <w:rFonts w:ascii="Calibri" w:hAnsi="Calibri"/>
                <w:b w:val="0"/>
                <w:color w:val="172033"/>
                <w:sz w:val="17"/>
              </w:rPr>
              <w:t>HUTANG PPN</w:t>
            </w:r>
          </w:p>
        </w:tc>
        <w:tc>
          <w:tcPr>
            <w:tcW w:type="dxa" w:w="3960"/>
            <w:vAlign w:val="center"/>
            <w:shd w:fill="F8FAFC"/>
          </w:tcPr>
          <w:p>
            <w:pPr>
              <w:spacing w:after="0"/>
            </w:pPr>
            <w:r/>
            <w:r>
              <w:rPr>
                <w:rFonts w:ascii="Calibri" w:hAnsi="Calibri"/>
                <w:b w:val="0"/>
                <w:color w:val="172033"/>
                <w:sz w:val="17"/>
              </w:rPr>
              <w:t>Kewajiban PPN sesuai substansi</w:t>
            </w:r>
          </w:p>
        </w:tc>
      </w:tr>
      <w:tr>
        <w:tc>
          <w:tcPr>
            <w:tcW w:type="dxa" w:w="1296"/>
            <w:vAlign w:val="center"/>
          </w:tcPr>
          <w:p>
            <w:pPr>
              <w:spacing w:after="0"/>
            </w:pPr>
            <w:r/>
            <w:r>
              <w:rPr>
                <w:rFonts w:ascii="Calibri" w:hAnsi="Calibri"/>
                <w:b w:val="0"/>
                <w:color w:val="172033"/>
                <w:sz w:val="17"/>
              </w:rPr>
              <w:t>410.900</w:t>
            </w:r>
          </w:p>
        </w:tc>
        <w:tc>
          <w:tcPr>
            <w:tcW w:type="dxa" w:w="3888"/>
            <w:vAlign w:val="center"/>
          </w:tcPr>
          <w:p>
            <w:pPr>
              <w:spacing w:after="0"/>
            </w:pPr>
            <w:r/>
            <w:r>
              <w:rPr>
                <w:rFonts w:ascii="Calibri" w:hAnsi="Calibri"/>
                <w:b w:val="0"/>
                <w:color w:val="172033"/>
                <w:sz w:val="17"/>
              </w:rPr>
              <w:t>PENDAPATAN PENJUALAN TOKO</w:t>
            </w:r>
          </w:p>
        </w:tc>
        <w:tc>
          <w:tcPr>
            <w:tcW w:type="dxa" w:w="3960"/>
            <w:vAlign w:val="center"/>
          </w:tcPr>
          <w:p>
            <w:pPr>
              <w:spacing w:after="0"/>
            </w:pPr>
            <w:r/>
            <w:r>
              <w:rPr>
                <w:rFonts w:ascii="Calibri" w:hAnsi="Calibri"/>
                <w:b w:val="0"/>
                <w:color w:val="172033"/>
                <w:sz w:val="17"/>
              </w:rPr>
              <w:t>Pendapatan Apotik</w:t>
            </w:r>
          </w:p>
        </w:tc>
      </w:tr>
      <w:tr>
        <w:tc>
          <w:tcPr>
            <w:tcW w:type="dxa" w:w="1296"/>
            <w:vAlign w:val="center"/>
            <w:shd w:fill="F8FAFC"/>
          </w:tcPr>
          <w:p>
            <w:pPr>
              <w:spacing w:after="0"/>
            </w:pPr>
            <w:r/>
            <w:r>
              <w:rPr>
                <w:rFonts w:ascii="Calibri" w:hAnsi="Calibri"/>
                <w:b w:val="0"/>
                <w:color w:val="172033"/>
                <w:sz w:val="17"/>
              </w:rPr>
              <w:t>510.900</w:t>
            </w:r>
          </w:p>
        </w:tc>
        <w:tc>
          <w:tcPr>
            <w:tcW w:type="dxa" w:w="3888"/>
            <w:vAlign w:val="center"/>
            <w:shd w:fill="F8FAFC"/>
          </w:tcPr>
          <w:p>
            <w:pPr>
              <w:spacing w:after="0"/>
            </w:pPr>
            <w:r/>
            <w:r>
              <w:rPr>
                <w:rFonts w:ascii="Calibri" w:hAnsi="Calibri"/>
                <w:b w:val="0"/>
                <w:color w:val="172033"/>
                <w:sz w:val="17"/>
              </w:rPr>
              <w:t>BEBAN POKOK PENJUALAN TOKO</w:t>
            </w:r>
          </w:p>
        </w:tc>
        <w:tc>
          <w:tcPr>
            <w:tcW w:type="dxa" w:w="3960"/>
            <w:vAlign w:val="center"/>
            <w:shd w:fill="F8FAFC"/>
          </w:tcPr>
          <w:p>
            <w:pPr>
              <w:spacing w:after="0"/>
            </w:pPr>
            <w:r/>
            <w:r>
              <w:rPr>
                <w:rFonts w:ascii="Calibri" w:hAnsi="Calibri"/>
                <w:b w:val="0"/>
                <w:color w:val="172033"/>
                <w:sz w:val="17"/>
              </w:rPr>
              <w:t>HPP penjualan</w:t>
            </w:r>
          </w:p>
        </w:tc>
      </w:tr>
    </w:tbl>
    <w:tbl>
      <w:tblPr>
        <w:tblStyle w:val="TableGrid"/>
        <w:tblW w:type="auto" w:w="0"/>
        <w:tblLook w:firstColumn="1" w:firstRow="1" w:lastColumn="0" w:lastRow="0" w:noHBand="0" w:noVBand="1" w:val="04A0"/>
      </w:tblPr>
      <w:tblGrid>
        <w:gridCol w:w="9360"/>
      </w:tblGrid>
      <w:tr>
        <w:tc>
          <w:tcPr>
            <w:tcW w:type="dxa" w:w="9360"/>
            <w:shd w:fill="EAF3F8"/>
          </w:tcPr>
          <w:p>
            <w:r>
              <w:rPr>
                <w:b/>
                <w:color w:val="B45309"/>
              </w:rPr>
              <w:t xml:space="preserve">Kualitas data COA: </w:t>
            </w:r>
            <w:r>
              <w:t>Kode 112,102 dan 121,109 memakai koma. Sistem tidak menormalisasikannya otomatis; owner COA harus menetapkan kode sah sebelum impor produksi.</w:t>
            </w:r>
          </w:p>
        </w:tc>
      </w:tr>
    </w:tbl>
    <w:p>
      <w:pPr>
        <w:spacing w:after="0"/>
      </w:pPr>
    </w:p>
    <w:p>
      <w:r>
        <w:br w:type="page"/>
      </w:r>
    </w:p>
    <w:p>
      <w:pPr>
        <w:pStyle w:val="Heading1"/>
      </w:pPr>
      <w:r>
        <w:t>1. Penjualan Obat Jadi</w:t>
      </w:r>
    </w:p>
    <w:p>
      <w:pPr>
        <w:jc w:val="center"/>
      </w:pPr>
      <w:r>
        <w:drawing>
          <wp:inline xmlns:a="http://schemas.openxmlformats.org/drawingml/2006/main" xmlns:pic="http://schemas.openxmlformats.org/drawingml/2006/picture">
            <wp:extent cx="5897880" cy="3317558"/>
            <wp:docPr id="1" name="Picture 1"/>
            <wp:cNvGraphicFramePr>
              <a:graphicFrameLocks noChangeAspect="1"/>
            </wp:cNvGraphicFramePr>
            <a:graphic>
              <a:graphicData uri="http://schemas.openxmlformats.org/drawingml/2006/picture">
                <pic:pic>
                  <pic:nvPicPr>
                    <pic:cNvPr id="0" name="01-kasir-obat-jadi.png"/>
                    <pic:cNvPicPr/>
                  </pic:nvPicPr>
                  <pic:blipFill>
                    <a:blip r:embed="rId11"/>
                    <a:stretch>
                      <a:fillRect/>
                    </a:stretch>
                  </pic:blipFill>
                  <pic:spPr>
                    <a:xfrm>
                      <a:off x="0" y="0"/>
                      <a:ext cx="5897880" cy="3317558"/>
                    </a:xfrm>
                    <a:prstGeom prst="rect"/>
                  </pic:spPr>
                </pic:pic>
              </a:graphicData>
            </a:graphic>
          </wp:inline>
        </w:drawing>
      </w:r>
    </w:p>
    <w:p>
      <w:pPr>
        <w:pStyle w:val="Caption"/>
        <w:jc w:val="center"/>
      </w:pPr>
      <w:r>
        <w:t>Bukti 1. Kasir obat jadi setelah UAT API pada server demo.</w:t>
      </w:r>
    </w:p>
    <w:p>
      <w:pPr>
        <w:pStyle w:val="Heading2"/>
      </w:pPr>
      <w:r>
        <w:t>Narasi UAT dan petunjuk penggunaan</w:t>
      </w:r>
    </w:p>
    <w:p>
      <w:r>
        <w:t>Bukti layar untuk Penjualan Obat Jadi dipakai sebagai titik masuk pemeriksaan UAT sekaligus panduan kerja operator. Tujuan pengujian bukan hanya memastikan halaman dapat terbuka, melainkan memastikan rangkaian keputusan, data, otorisasi, dan jejak audit tetap konsisten dari awal sampai akhir. Aktor yang terlibat adalah Pasien / keluarga, Kasir, Apoteker, Supervisor.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Identifikasi pasien; Cari/pindai obat; Validasi stok &amp; golongan; Pilih batch FEFO; Bayar &amp; simpan; Etiket dan serah terima.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PASIEN</w:t>
        <w:br/>
        <w:t>id, identitas, PENJUALAN</w:t>
        <w:br/>
        <w:t>kode, tanggal, DETAIL OBAT</w:t>
        <w:br/>
        <w:t>qty, harga, BATCH</w:t>
        <w:br/>
        <w:t>ED, sisa, JURNAL/AUDIT</w:t>
        <w:br/>
        <w:t>referensi.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100 dari 100 transaksi obat jadi dengan kode UAT v1.34.23 berhasil dan pemeriksaan idempotensi lulus. Katalog deploy hanya memuat dua item, sehingga keberhasilan transaksi volume tidak berarti katalog 100 item telah tersedia. Status formalnya PASS transaksi / BLOCKED volume katalog.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Penjualan Obat Jadi adalah validasi item, batch tidak kedaluwarsa, sisa stok, FEFO, obat terkendali, pembayaran, dan bukti serah terima.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100 kode tersimpan satu kali, stok berkurang pada batch yang benar, transaksi dapat dibaca ulang, dan penyerahan dilakukan setelah verifikasi pasien-obat-jumlah.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transaksi / BLOCKED volume katalog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969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2" name="Picture 2"/>
            <wp:cNvGraphicFramePr>
              <a:graphicFrameLocks noChangeAspect="1"/>
            </wp:cNvGraphicFramePr>
            <a:graphic>
              <a:graphicData uri="http://schemas.openxmlformats.org/drawingml/2006/picture">
                <pic:pic>
                  <pic:nvPicPr>
                    <pic:cNvPr id="0" name="01-use-case.png"/>
                    <pic:cNvPicPr/>
                  </pic:nvPicPr>
                  <pic:blipFill>
                    <a:blip r:embed="rId12"/>
                    <a:stretch>
                      <a:fillRect/>
                    </a:stretch>
                  </pic:blipFill>
                  <pic:spPr>
                    <a:xfrm>
                      <a:off x="0" y="0"/>
                      <a:ext cx="5897880" cy="3317558"/>
                    </a:xfrm>
                    <a:prstGeom prst="rect"/>
                  </pic:spPr>
                </pic:pic>
              </a:graphicData>
            </a:graphic>
          </wp:inline>
        </w:drawing>
      </w:r>
    </w:p>
    <w:p>
      <w:pPr>
        <w:pStyle w:val="Caption"/>
        <w:jc w:val="center"/>
      </w:pPr>
      <w:r>
        <w:t>Diagram 1.A — use case Penjualan Obat Jadi</w:t>
      </w:r>
    </w:p>
    <w:p>
      <w:pPr>
        <w:pStyle w:val="Heading2"/>
      </w:pPr>
      <w:r>
        <w:t>Flowchart</w:t>
      </w:r>
    </w:p>
    <w:p>
      <w:pPr>
        <w:jc w:val="center"/>
      </w:pPr>
      <w:r>
        <w:drawing>
          <wp:inline xmlns:a="http://schemas.openxmlformats.org/drawingml/2006/main" xmlns:pic="http://schemas.openxmlformats.org/drawingml/2006/picture">
            <wp:extent cx="5897880" cy="3317558"/>
            <wp:docPr id="3" name="Picture 3"/>
            <wp:cNvGraphicFramePr>
              <a:graphicFrameLocks noChangeAspect="1"/>
            </wp:cNvGraphicFramePr>
            <a:graphic>
              <a:graphicData uri="http://schemas.openxmlformats.org/drawingml/2006/picture">
                <pic:pic>
                  <pic:nvPicPr>
                    <pic:cNvPr id="0" name="01-flowchart.png"/>
                    <pic:cNvPicPr/>
                  </pic:nvPicPr>
                  <pic:blipFill>
                    <a:blip r:embed="rId13"/>
                    <a:stretch>
                      <a:fillRect/>
                    </a:stretch>
                  </pic:blipFill>
                  <pic:spPr>
                    <a:xfrm>
                      <a:off x="0" y="0"/>
                      <a:ext cx="5897880" cy="3317558"/>
                    </a:xfrm>
                    <a:prstGeom prst="rect"/>
                  </pic:spPr>
                </pic:pic>
              </a:graphicData>
            </a:graphic>
          </wp:inline>
        </w:drawing>
      </w:r>
    </w:p>
    <w:p>
      <w:pPr>
        <w:pStyle w:val="Caption"/>
        <w:jc w:val="center"/>
      </w:pPr>
      <w:r>
        <w:t>Diagram 1.B — alur kerja Penjualan Obat Jadi</w:t>
      </w:r>
    </w:p>
    <w:p>
      <w:pPr>
        <w:pStyle w:val="Heading2"/>
      </w:pPr>
      <w:r>
        <w:t>ERD dan aliran data</w:t>
      </w:r>
    </w:p>
    <w:p>
      <w:pPr>
        <w:jc w:val="center"/>
      </w:pPr>
      <w:r>
        <w:drawing>
          <wp:inline xmlns:a="http://schemas.openxmlformats.org/drawingml/2006/main" xmlns:pic="http://schemas.openxmlformats.org/drawingml/2006/picture">
            <wp:extent cx="5897880" cy="3317558"/>
            <wp:docPr id="4" name="Picture 4"/>
            <wp:cNvGraphicFramePr>
              <a:graphicFrameLocks noChangeAspect="1"/>
            </wp:cNvGraphicFramePr>
            <a:graphic>
              <a:graphicData uri="http://schemas.openxmlformats.org/drawingml/2006/picture">
                <pic:pic>
                  <pic:nvPicPr>
                    <pic:cNvPr id="0" name="01-erd-dataflow.png"/>
                    <pic:cNvPicPr/>
                  </pic:nvPicPr>
                  <pic:blipFill>
                    <a:blip r:embed="rId14"/>
                    <a:stretch>
                      <a:fillRect/>
                    </a:stretch>
                  </pic:blipFill>
                  <pic:spPr>
                    <a:xfrm>
                      <a:off x="0" y="0"/>
                      <a:ext cx="5897880" cy="3317558"/>
                    </a:xfrm>
                    <a:prstGeom prst="rect"/>
                  </pic:spPr>
                </pic:pic>
              </a:graphicData>
            </a:graphic>
          </wp:inline>
        </w:drawing>
      </w:r>
    </w:p>
    <w:p>
      <w:pPr>
        <w:pStyle w:val="Caption"/>
        <w:jc w:val="center"/>
      </w:pPr>
      <w:r>
        <w:t>Diagram 1.C — model konseptual dan aliran data Penjualan Obat Jadi</w:t>
      </w:r>
    </w:p>
    <w:p>
      <w:pPr>
        <w:pStyle w:val="Heading2"/>
      </w:pPr>
      <w:r>
        <w:t>Checklist operator dan acceptance</w:t>
      </w:r>
    </w:p>
    <w:p>
      <w:pPr>
        <w:pStyle w:val="ListNumber"/>
        <w:ind w:left="540" w:hanging="269"/>
      </w:pPr>
      <w:r>
        <w:t>Identifikasi pasien</w:t>
      </w:r>
    </w:p>
    <w:p>
      <w:pPr>
        <w:pStyle w:val="ListNumber"/>
        <w:ind w:left="540" w:hanging="269"/>
      </w:pPr>
      <w:r>
        <w:t>Cari/pindai obat</w:t>
      </w:r>
    </w:p>
    <w:p>
      <w:pPr>
        <w:pStyle w:val="ListNumber"/>
        <w:ind w:left="540" w:hanging="269"/>
      </w:pPr>
      <w:r>
        <w:t>Validasi stok &amp; golongan</w:t>
      </w:r>
    </w:p>
    <w:p>
      <w:pPr>
        <w:pStyle w:val="ListNumber"/>
        <w:ind w:left="540" w:hanging="269"/>
      </w:pPr>
      <w:r>
        <w:t>Pilih batch FEFO</w:t>
      </w:r>
    </w:p>
    <w:p>
      <w:pPr>
        <w:pStyle w:val="ListNumber"/>
        <w:ind w:left="540" w:hanging="269"/>
      </w:pPr>
      <w:r>
        <w:t>Bayar &amp; simpan</w:t>
      </w:r>
    </w:p>
    <w:p>
      <w:pPr>
        <w:pStyle w:val="ListNumber"/>
        <w:ind w:left="540" w:hanging="269"/>
      </w:pPr>
      <w:r>
        <w:t>Etiket dan serah terima</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100 kode tersimpan satu kali, stok berkurang pada batch yang benar, transaksi dapat dibaca ulang, dan penyerahan dilakukan setelah verifikasi pasien-obat-jumlah</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2. Penjualan Obat Racik</w:t>
      </w:r>
    </w:p>
    <w:p>
      <w:pPr>
        <w:jc w:val="center"/>
      </w:pPr>
      <w:r>
        <w:drawing>
          <wp:inline xmlns:a="http://schemas.openxmlformats.org/drawingml/2006/main" xmlns:pic="http://schemas.openxmlformats.org/drawingml/2006/picture">
            <wp:extent cx="5897880" cy="3317558"/>
            <wp:docPr id="5" name="Picture 5"/>
            <wp:cNvGraphicFramePr>
              <a:graphicFrameLocks noChangeAspect="1"/>
            </wp:cNvGraphicFramePr>
            <a:graphic>
              <a:graphicData uri="http://schemas.openxmlformats.org/drawingml/2006/picture">
                <pic:pic>
                  <pic:nvPicPr>
                    <pic:cNvPr id="0" name="02-resep-racikan.png"/>
                    <pic:cNvPicPr/>
                  </pic:nvPicPr>
                  <pic:blipFill>
                    <a:blip r:embed="rId15"/>
                    <a:stretch>
                      <a:fillRect/>
                    </a:stretch>
                  </pic:blipFill>
                  <pic:spPr>
                    <a:xfrm>
                      <a:off x="0" y="0"/>
                      <a:ext cx="5897880" cy="3317558"/>
                    </a:xfrm>
                    <a:prstGeom prst="rect"/>
                  </pic:spPr>
                </pic:pic>
              </a:graphicData>
            </a:graphic>
          </wp:inline>
        </w:drawing>
      </w:r>
    </w:p>
    <w:p>
      <w:pPr>
        <w:pStyle w:val="Caption"/>
        <w:jc w:val="center"/>
      </w:pPr>
      <w:r>
        <w:t>Bukti 2. Halaman resep/racikan dengan data server demo.</w:t>
      </w:r>
    </w:p>
    <w:p>
      <w:pPr>
        <w:pStyle w:val="Heading2"/>
      </w:pPr>
      <w:r>
        <w:t>Narasi UAT dan petunjuk penggunaan</w:t>
      </w:r>
    </w:p>
    <w:p>
      <w:r>
        <w:t>Bukti layar untuk Penjualan Obat Racik dipakai sebagai titik masuk pemeriksaan UAT sekaligus panduan kerja operator. Tujuan pengujian bukan hanya memastikan halaman dapat terbuka, melainkan memastikan rangkaian keputusan, data, otorisasi, dan jejak audit tetap konsisten dari awal sampai akhir. Aktor yang terlibat adalah Dokter / resep, Apoteker, Tenaga teknis, Pasien.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Resep diterima; Telaah klinis/farmasetik; Hitung bahan; Racik &amp; kemas; Pemeriksaan akhir; Serahkan &amp; edukasi.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RESEP</w:t>
        <w:br/>
        <w:t>id, pasien, RACIKAN</w:t>
        <w:br/>
        <w:t>formula, dosis, BAHAN</w:t>
        <w:br/>
        <w:t>item, qty, BATCH BAHAN</w:t>
        <w:br/>
        <w:t>ED, sisa, PENYERAHAN</w:t>
        <w:br/>
        <w:t>status, edukasi.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100 dari 100 transaksi racikan berhasil; endpoint daftar mengembalikan 100 resep pada halaman uji dan ringkasan provision server menyatakan total 5.000 resep demo tersedia. Status formalnya PASS transaksi racikan.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Penjualan Obat Racik adalah telaah resep, kalkulasi dosis, kompatibilitas, pemilihan batch, kebersihan area racik, pemeriksaan akhir, etiket, dan edukasi.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100 resep terhubung ke transaksi satu kali, pemakaian bahan dapat ditelusuri, status selesai benar, dan hasil racikan diserahkan setelah pemeriksaan akhir.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transaksi racikan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953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6" name="Picture 6"/>
            <wp:cNvGraphicFramePr>
              <a:graphicFrameLocks noChangeAspect="1"/>
            </wp:cNvGraphicFramePr>
            <a:graphic>
              <a:graphicData uri="http://schemas.openxmlformats.org/drawingml/2006/picture">
                <pic:pic>
                  <pic:nvPicPr>
                    <pic:cNvPr id="0" name="02-use-case.png"/>
                    <pic:cNvPicPr/>
                  </pic:nvPicPr>
                  <pic:blipFill>
                    <a:blip r:embed="rId16"/>
                    <a:stretch>
                      <a:fillRect/>
                    </a:stretch>
                  </pic:blipFill>
                  <pic:spPr>
                    <a:xfrm>
                      <a:off x="0" y="0"/>
                      <a:ext cx="5897880" cy="3317558"/>
                    </a:xfrm>
                    <a:prstGeom prst="rect"/>
                  </pic:spPr>
                </pic:pic>
              </a:graphicData>
            </a:graphic>
          </wp:inline>
        </w:drawing>
      </w:r>
    </w:p>
    <w:p>
      <w:pPr>
        <w:pStyle w:val="Caption"/>
        <w:jc w:val="center"/>
      </w:pPr>
      <w:r>
        <w:t>Diagram 2.A — use case Penjualan Obat Racik</w:t>
      </w:r>
    </w:p>
    <w:p>
      <w:pPr>
        <w:pStyle w:val="Heading2"/>
      </w:pPr>
      <w:r>
        <w:t>Flowchart</w:t>
      </w:r>
    </w:p>
    <w:p>
      <w:pPr>
        <w:jc w:val="center"/>
      </w:pPr>
      <w:r>
        <w:drawing>
          <wp:inline xmlns:a="http://schemas.openxmlformats.org/drawingml/2006/main" xmlns:pic="http://schemas.openxmlformats.org/drawingml/2006/picture">
            <wp:extent cx="5897880" cy="3317558"/>
            <wp:docPr id="7" name="Picture 7"/>
            <wp:cNvGraphicFramePr>
              <a:graphicFrameLocks noChangeAspect="1"/>
            </wp:cNvGraphicFramePr>
            <a:graphic>
              <a:graphicData uri="http://schemas.openxmlformats.org/drawingml/2006/picture">
                <pic:pic>
                  <pic:nvPicPr>
                    <pic:cNvPr id="0" name="02-flowchart.png"/>
                    <pic:cNvPicPr/>
                  </pic:nvPicPr>
                  <pic:blipFill>
                    <a:blip r:embed="rId17"/>
                    <a:stretch>
                      <a:fillRect/>
                    </a:stretch>
                  </pic:blipFill>
                  <pic:spPr>
                    <a:xfrm>
                      <a:off x="0" y="0"/>
                      <a:ext cx="5897880" cy="3317558"/>
                    </a:xfrm>
                    <a:prstGeom prst="rect"/>
                  </pic:spPr>
                </pic:pic>
              </a:graphicData>
            </a:graphic>
          </wp:inline>
        </w:drawing>
      </w:r>
    </w:p>
    <w:p>
      <w:pPr>
        <w:pStyle w:val="Caption"/>
        <w:jc w:val="center"/>
      </w:pPr>
      <w:r>
        <w:t>Diagram 2.B — alur kerja Penjualan Obat Racik</w:t>
      </w:r>
    </w:p>
    <w:p>
      <w:pPr>
        <w:pStyle w:val="Heading2"/>
      </w:pPr>
      <w:r>
        <w:t>ERD dan aliran data</w:t>
      </w:r>
    </w:p>
    <w:p>
      <w:pPr>
        <w:jc w:val="center"/>
      </w:pPr>
      <w:r>
        <w:drawing>
          <wp:inline xmlns:a="http://schemas.openxmlformats.org/drawingml/2006/main" xmlns:pic="http://schemas.openxmlformats.org/drawingml/2006/picture">
            <wp:extent cx="5897880" cy="3317558"/>
            <wp:docPr id="8" name="Picture 8"/>
            <wp:cNvGraphicFramePr>
              <a:graphicFrameLocks noChangeAspect="1"/>
            </wp:cNvGraphicFramePr>
            <a:graphic>
              <a:graphicData uri="http://schemas.openxmlformats.org/drawingml/2006/picture">
                <pic:pic>
                  <pic:nvPicPr>
                    <pic:cNvPr id="0" name="02-erd-dataflow.png"/>
                    <pic:cNvPicPr/>
                  </pic:nvPicPr>
                  <pic:blipFill>
                    <a:blip r:embed="rId18"/>
                    <a:stretch>
                      <a:fillRect/>
                    </a:stretch>
                  </pic:blipFill>
                  <pic:spPr>
                    <a:xfrm>
                      <a:off x="0" y="0"/>
                      <a:ext cx="5897880" cy="3317558"/>
                    </a:xfrm>
                    <a:prstGeom prst="rect"/>
                  </pic:spPr>
                </pic:pic>
              </a:graphicData>
            </a:graphic>
          </wp:inline>
        </w:drawing>
      </w:r>
    </w:p>
    <w:p>
      <w:pPr>
        <w:pStyle w:val="Caption"/>
        <w:jc w:val="center"/>
      </w:pPr>
      <w:r>
        <w:t>Diagram 2.C — model konseptual dan aliran data Penjualan Obat Racik</w:t>
      </w:r>
    </w:p>
    <w:p>
      <w:pPr>
        <w:pStyle w:val="Heading2"/>
      </w:pPr>
      <w:r>
        <w:t>Checklist operator dan acceptance</w:t>
      </w:r>
    </w:p>
    <w:p>
      <w:pPr>
        <w:pStyle w:val="ListNumber"/>
        <w:ind w:left="540" w:hanging="269"/>
      </w:pPr>
      <w:r>
        <w:t>Resep diterima</w:t>
      </w:r>
    </w:p>
    <w:p>
      <w:pPr>
        <w:pStyle w:val="ListNumber"/>
        <w:ind w:left="540" w:hanging="269"/>
      </w:pPr>
      <w:r>
        <w:t>Telaah klinis/farmasetik</w:t>
      </w:r>
    </w:p>
    <w:p>
      <w:pPr>
        <w:pStyle w:val="ListNumber"/>
        <w:ind w:left="540" w:hanging="269"/>
      </w:pPr>
      <w:r>
        <w:t>Hitung bahan</w:t>
      </w:r>
    </w:p>
    <w:p>
      <w:pPr>
        <w:pStyle w:val="ListNumber"/>
        <w:ind w:left="540" w:hanging="269"/>
      </w:pPr>
      <w:r>
        <w:t>Racik &amp; kemas</w:t>
      </w:r>
    </w:p>
    <w:p>
      <w:pPr>
        <w:pStyle w:val="ListNumber"/>
        <w:ind w:left="540" w:hanging="269"/>
      </w:pPr>
      <w:r>
        <w:t>Pemeriksaan akhir</w:t>
      </w:r>
    </w:p>
    <w:p>
      <w:pPr>
        <w:pStyle w:val="ListNumber"/>
        <w:ind w:left="540" w:hanging="269"/>
      </w:pPr>
      <w:r>
        <w:t>Serahkan &amp; edukasi</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100 resep terhubung ke transaksi satu kali, pemakaian bahan dapat ditelusuri, status selesai benar, dan hasil racikan diserahkan setelah pemeriksaan akhir</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3. Penjualan Gabungan dan Layar Pasien</w:t>
      </w:r>
    </w:p>
    <w:p>
      <w:pPr>
        <w:jc w:val="center"/>
      </w:pPr>
      <w:r>
        <w:drawing>
          <wp:inline xmlns:a="http://schemas.openxmlformats.org/drawingml/2006/main" xmlns:pic="http://schemas.openxmlformats.org/drawingml/2006/picture">
            <wp:extent cx="5897880" cy="3317558"/>
            <wp:docPr id="9" name="Picture 9"/>
            <wp:cNvGraphicFramePr>
              <a:graphicFrameLocks noChangeAspect="1"/>
            </wp:cNvGraphicFramePr>
            <a:graphic>
              <a:graphicData uri="http://schemas.openxmlformats.org/drawingml/2006/picture">
                <pic:pic>
                  <pic:nvPicPr>
                    <pic:cNvPr id="0" name="06-layar-kedua-obat-jadi-racikan.png"/>
                    <pic:cNvPicPr/>
                  </pic:nvPicPr>
                  <pic:blipFill>
                    <a:blip r:embed="rId19"/>
                    <a:stretch>
                      <a:fillRect/>
                    </a:stretch>
                  </pic:blipFill>
                  <pic:spPr>
                    <a:xfrm>
                      <a:off x="0" y="0"/>
                      <a:ext cx="5897880" cy="3317558"/>
                    </a:xfrm>
                    <a:prstGeom prst="rect"/>
                  </pic:spPr>
                </pic:pic>
              </a:graphicData>
            </a:graphic>
          </wp:inline>
        </w:drawing>
      </w:r>
    </w:p>
    <w:p>
      <w:pPr>
        <w:pStyle w:val="Caption"/>
        <w:jc w:val="center"/>
      </w:pPr>
      <w:r>
        <w:t>Bukti 3. Pratinjau terkontrol layar kedua gabungan; endpoint antrean live belum tersedia.</w:t>
      </w:r>
    </w:p>
    <w:p>
      <w:pPr>
        <w:pStyle w:val="Heading2"/>
      </w:pPr>
      <w:r>
        <w:t>Narasi UAT dan petunjuk penggunaan</w:t>
      </w:r>
    </w:p>
    <w:p>
      <w:r>
        <w:t>Bukti layar untuk Penjualan Gabungan dan Layar Pasien dipakai sebagai titik masuk pemeriksaan UAT sekaligus panduan kerja operator. Tujuan pengujian bukan hanya memastikan halaman dapat terbuka, melainkan memastikan rangkaian keputusan, data, otorisasi, dan jejak audit tetap konsisten dari awal sampai akhir. Aktor yang terlibat adalah Kasir, Apoteker, Pasien / keluarga, Layar publik.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Pilih item jadi; Pilih resep racikan; Validasi dua lini; Bayar gabungan; Siapkan obat; Panggil pada layar.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PENJUALAN</w:t>
        <w:br/>
        <w:t>kode gabungan, DETAIL JADI</w:t>
        <w:br/>
        <w:t>item, batch, DETAIL RACIK</w:t>
        <w:br/>
        <w:t>resep, bahan, ANTREAN</w:t>
        <w:br/>
        <w:t>nomor, status, LAYAR PUBLIK</w:t>
        <w:br/>
        <w:t>view tersamar.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100 dari 100 transaksi gabungan yang masing-masing berisi lini obat jadi dan racikan berhasil. Komponen layar gabungan, khusus obat jadi, dan khusus racikan dapat dirender, tetapi endpoint antrean farmasi pada server demo mengembalikan aksi belum tersedia; screenshot ini memakai data pratinjau terkontrol. Status formalnya PASS transaksi / PASS komponen / BLOCKED integrasi antrean.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Penjualan Gabungan dan Layar Pasien adalah atomicity transaksi gabungan, pencegahan duplikasi, sinkronisasi status, privasi pasien, polling, dan pemilihan monitor.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100 transaksi gabungan tersimpan utuh, tidak ada lini terputus, dan integrasi layar baru lulus setelah endpoint live menampilkan minimal 50 antrean tersamar serta perubahan status real-time.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transaksi / PASS komponen / BLOCKED integrasi antrean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990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10" name="Picture 10"/>
            <wp:cNvGraphicFramePr>
              <a:graphicFrameLocks noChangeAspect="1"/>
            </wp:cNvGraphicFramePr>
            <a:graphic>
              <a:graphicData uri="http://schemas.openxmlformats.org/drawingml/2006/picture">
                <pic:pic>
                  <pic:nvPicPr>
                    <pic:cNvPr id="0" name="03-use-case.png"/>
                    <pic:cNvPicPr/>
                  </pic:nvPicPr>
                  <pic:blipFill>
                    <a:blip r:embed="rId20"/>
                    <a:stretch>
                      <a:fillRect/>
                    </a:stretch>
                  </pic:blipFill>
                  <pic:spPr>
                    <a:xfrm>
                      <a:off x="0" y="0"/>
                      <a:ext cx="5897880" cy="3317558"/>
                    </a:xfrm>
                    <a:prstGeom prst="rect"/>
                  </pic:spPr>
                </pic:pic>
              </a:graphicData>
            </a:graphic>
          </wp:inline>
        </w:drawing>
      </w:r>
    </w:p>
    <w:p>
      <w:pPr>
        <w:pStyle w:val="Caption"/>
        <w:jc w:val="center"/>
      </w:pPr>
      <w:r>
        <w:t>Diagram 3.A — use case Penjualan Gabungan dan Layar Pasien</w:t>
      </w:r>
    </w:p>
    <w:p>
      <w:pPr>
        <w:pStyle w:val="Heading2"/>
      </w:pPr>
      <w:r>
        <w:t>Flowchart</w:t>
      </w:r>
    </w:p>
    <w:p>
      <w:pPr>
        <w:jc w:val="center"/>
      </w:pPr>
      <w:r>
        <w:drawing>
          <wp:inline xmlns:a="http://schemas.openxmlformats.org/drawingml/2006/main" xmlns:pic="http://schemas.openxmlformats.org/drawingml/2006/picture">
            <wp:extent cx="5897880" cy="3317558"/>
            <wp:docPr id="11" name="Picture 11"/>
            <wp:cNvGraphicFramePr>
              <a:graphicFrameLocks noChangeAspect="1"/>
            </wp:cNvGraphicFramePr>
            <a:graphic>
              <a:graphicData uri="http://schemas.openxmlformats.org/drawingml/2006/picture">
                <pic:pic>
                  <pic:nvPicPr>
                    <pic:cNvPr id="0" name="03-flowchart.png"/>
                    <pic:cNvPicPr/>
                  </pic:nvPicPr>
                  <pic:blipFill>
                    <a:blip r:embed="rId21"/>
                    <a:stretch>
                      <a:fillRect/>
                    </a:stretch>
                  </pic:blipFill>
                  <pic:spPr>
                    <a:xfrm>
                      <a:off x="0" y="0"/>
                      <a:ext cx="5897880" cy="3317558"/>
                    </a:xfrm>
                    <a:prstGeom prst="rect"/>
                  </pic:spPr>
                </pic:pic>
              </a:graphicData>
            </a:graphic>
          </wp:inline>
        </w:drawing>
      </w:r>
    </w:p>
    <w:p>
      <w:pPr>
        <w:pStyle w:val="Caption"/>
        <w:jc w:val="center"/>
      </w:pPr>
      <w:r>
        <w:t>Diagram 3.B — alur kerja Penjualan Gabungan dan Layar Pasien</w:t>
      </w:r>
    </w:p>
    <w:p>
      <w:pPr>
        <w:pStyle w:val="Heading2"/>
      </w:pPr>
      <w:r>
        <w:t>ERD dan aliran data</w:t>
      </w:r>
    </w:p>
    <w:p>
      <w:pPr>
        <w:jc w:val="center"/>
      </w:pPr>
      <w:r>
        <w:drawing>
          <wp:inline xmlns:a="http://schemas.openxmlformats.org/drawingml/2006/main" xmlns:pic="http://schemas.openxmlformats.org/drawingml/2006/picture">
            <wp:extent cx="5897880" cy="3317558"/>
            <wp:docPr id="12" name="Picture 12"/>
            <wp:cNvGraphicFramePr>
              <a:graphicFrameLocks noChangeAspect="1"/>
            </wp:cNvGraphicFramePr>
            <a:graphic>
              <a:graphicData uri="http://schemas.openxmlformats.org/drawingml/2006/picture">
                <pic:pic>
                  <pic:nvPicPr>
                    <pic:cNvPr id="0" name="03-erd-dataflow.png"/>
                    <pic:cNvPicPr/>
                  </pic:nvPicPr>
                  <pic:blipFill>
                    <a:blip r:embed="rId22"/>
                    <a:stretch>
                      <a:fillRect/>
                    </a:stretch>
                  </pic:blipFill>
                  <pic:spPr>
                    <a:xfrm>
                      <a:off x="0" y="0"/>
                      <a:ext cx="5897880" cy="3317558"/>
                    </a:xfrm>
                    <a:prstGeom prst="rect"/>
                  </pic:spPr>
                </pic:pic>
              </a:graphicData>
            </a:graphic>
          </wp:inline>
        </w:drawing>
      </w:r>
    </w:p>
    <w:p>
      <w:pPr>
        <w:pStyle w:val="Caption"/>
        <w:jc w:val="center"/>
      </w:pPr>
      <w:r>
        <w:t>Diagram 3.C — model konseptual dan aliran data Penjualan Gabungan dan Layar Pasien</w:t>
      </w:r>
    </w:p>
    <w:p>
      <w:pPr>
        <w:pStyle w:val="Heading2"/>
      </w:pPr>
      <w:r>
        <w:t>Checklist operator dan acceptance</w:t>
      </w:r>
    </w:p>
    <w:p>
      <w:pPr>
        <w:pStyle w:val="ListNumber"/>
        <w:ind w:left="540" w:hanging="269"/>
      </w:pPr>
      <w:r>
        <w:t>Pilih item jadi</w:t>
      </w:r>
    </w:p>
    <w:p>
      <w:pPr>
        <w:pStyle w:val="ListNumber"/>
        <w:ind w:left="540" w:hanging="269"/>
      </w:pPr>
      <w:r>
        <w:t>Pilih resep racikan</w:t>
      </w:r>
    </w:p>
    <w:p>
      <w:pPr>
        <w:pStyle w:val="ListNumber"/>
        <w:ind w:left="540" w:hanging="269"/>
      </w:pPr>
      <w:r>
        <w:t>Validasi dua lini</w:t>
      </w:r>
    </w:p>
    <w:p>
      <w:pPr>
        <w:pStyle w:val="ListNumber"/>
        <w:ind w:left="540" w:hanging="269"/>
      </w:pPr>
      <w:r>
        <w:t>Bayar gabungan</w:t>
      </w:r>
    </w:p>
    <w:p>
      <w:pPr>
        <w:pStyle w:val="ListNumber"/>
        <w:ind w:left="540" w:hanging="269"/>
      </w:pPr>
      <w:r>
        <w:t>Siapkan obat</w:t>
      </w:r>
    </w:p>
    <w:p>
      <w:pPr>
        <w:pStyle w:val="ListNumber"/>
        <w:ind w:left="540" w:hanging="269"/>
      </w:pPr>
      <w:r>
        <w:t>Panggil pada layar</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100 transaksi gabungan tersimpan utuh, tidak ada lini terputus, dan integrasi layar baru lulus setelah endpoint live menampilkan minimal 50 antrean tersamar serta perubahan status real-time</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4. Kulakan: PR, PO, BAST, Tagihan, dan Pembayaran</w:t>
      </w:r>
    </w:p>
    <w:p>
      <w:pPr>
        <w:jc w:val="center"/>
      </w:pPr>
      <w:r>
        <w:drawing>
          <wp:inline xmlns:a="http://schemas.openxmlformats.org/drawingml/2006/main" xmlns:pic="http://schemas.openxmlformats.org/drawingml/2006/picture">
            <wp:extent cx="5897880" cy="3177576"/>
            <wp:docPr id="13" name="Picture 13"/>
            <wp:cNvGraphicFramePr>
              <a:graphicFrameLocks noChangeAspect="1"/>
            </wp:cNvGraphicFramePr>
            <a:graphic>
              <a:graphicData uri="http://schemas.openxmlformats.org/drawingml/2006/picture">
                <pic:pic>
                  <pic:nvPicPr>
                    <pic:cNvPr id="0" name="02-pr-daftar-50.png"/>
                    <pic:cNvPicPr/>
                  </pic:nvPicPr>
                  <pic:blipFill>
                    <a:blip r:embed="rId23"/>
                    <a:stretch>
                      <a:fillRect/>
                    </a:stretch>
                  </pic:blipFill>
                  <pic:spPr>
                    <a:xfrm>
                      <a:off x="0" y="0"/>
                      <a:ext cx="5897880" cy="3177576"/>
                    </a:xfrm>
                    <a:prstGeom prst="rect"/>
                  </pic:spPr>
                </pic:pic>
              </a:graphicData>
            </a:graphic>
          </wp:inline>
        </w:drawing>
      </w:r>
    </w:p>
    <w:p>
      <w:pPr>
        <w:pStyle w:val="Caption"/>
        <w:jc w:val="center"/>
      </w:pPr>
      <w:r>
        <w:t>Bukti 4. Dashboard PR pada rangkaian procure-to-pay server demo.</w:t>
      </w:r>
    </w:p>
    <w:p>
      <w:pPr>
        <w:pStyle w:val="Heading2"/>
      </w:pPr>
      <w:r>
        <w:t>Narasi UAT dan petunjuk penggunaan</w:t>
      </w:r>
    </w:p>
    <w:p>
      <w:r>
        <w:t>Bukti layar untuk Kulakan: PR, PO, BAST, Tagihan, dan Pembayaran dipakai sebagai titik masuk pemeriksaan UAT sekaligus panduan kerja operator. Tujuan pengujian bukan hanya memastikan halaman dapat terbuka, melainkan memastikan rangkaian keputusan, data, otorisasi, dan jejak audit tetap konsisten dari awal sampai akhir. Aktor yang terlibat adalah Peminta, Approver, Gudang, Keuangan.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PR + justifikasi; Persetujuan; PO ke vendor; BAST &amp; batch; Terima tagihan; Bayar vendor.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PR</w:t>
        <w:br/>
        <w:t>kode, kebutuhan, PO</w:t>
        <w:br/>
        <w:t>vendor, termin, BAST</w:t>
        <w:br/>
        <w:t>qty, mutu, TAGIHAN</w:t>
        <w:br/>
        <w:t>nomor, nilai, PEMBAYARAN</w:t>
        <w:br/>
        <w:t>bukti, jurnal.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100 PR, 100 PO, 100 BAST, dan 100 tagihan dengan prefix rilis berhasil dibaca. Seratus pembayaran berhasil disetujui dan dijadikan sumber jurnal, namun filter daftar pembayaran memakai marker yang sama mengembalikan nol sehingga query/filter tersebut dicatat sebagai defect. Dashboard bersama menampilkan total lebih besar dari run ini. Status formalnya PASS alur P2P / defect filter daftar pembayaran.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Kulakan: PR, PO, BAST, Tagihan, dan Pembayaran adalah segregasi tugas, otorisasi anggaran, vendor, qty, mutu, batch, ED, three-way match, bukti transfer, dan pelacakan status.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100 dokumen per tahap terhubung konsisten, tidak ada pembayaran tanpa tagihan disetujui, serta filter pembayaran diperbaiki dan diretest terhadap marker rilis.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alur P2P / defect filter daftar pembayaran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989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14" name="Picture 14"/>
            <wp:cNvGraphicFramePr>
              <a:graphicFrameLocks noChangeAspect="1"/>
            </wp:cNvGraphicFramePr>
            <a:graphic>
              <a:graphicData uri="http://schemas.openxmlformats.org/drawingml/2006/picture">
                <pic:pic>
                  <pic:nvPicPr>
                    <pic:cNvPr id="0" name="04-use-case.png"/>
                    <pic:cNvPicPr/>
                  </pic:nvPicPr>
                  <pic:blipFill>
                    <a:blip r:embed="rId24"/>
                    <a:stretch>
                      <a:fillRect/>
                    </a:stretch>
                  </pic:blipFill>
                  <pic:spPr>
                    <a:xfrm>
                      <a:off x="0" y="0"/>
                      <a:ext cx="5897880" cy="3317558"/>
                    </a:xfrm>
                    <a:prstGeom prst="rect"/>
                  </pic:spPr>
                </pic:pic>
              </a:graphicData>
            </a:graphic>
          </wp:inline>
        </w:drawing>
      </w:r>
    </w:p>
    <w:p>
      <w:pPr>
        <w:pStyle w:val="Caption"/>
        <w:jc w:val="center"/>
      </w:pPr>
      <w:r>
        <w:t>Diagram 4.A — use case Kulakan: PR, PO, BAST, Tagihan, dan Pembayaran</w:t>
      </w:r>
    </w:p>
    <w:p>
      <w:pPr>
        <w:pStyle w:val="Heading2"/>
      </w:pPr>
      <w:r>
        <w:t>Flowchart</w:t>
      </w:r>
    </w:p>
    <w:p>
      <w:pPr>
        <w:jc w:val="center"/>
      </w:pPr>
      <w:r>
        <w:drawing>
          <wp:inline xmlns:a="http://schemas.openxmlformats.org/drawingml/2006/main" xmlns:pic="http://schemas.openxmlformats.org/drawingml/2006/picture">
            <wp:extent cx="5897880" cy="3317558"/>
            <wp:docPr id="15" name="Picture 15"/>
            <wp:cNvGraphicFramePr>
              <a:graphicFrameLocks noChangeAspect="1"/>
            </wp:cNvGraphicFramePr>
            <a:graphic>
              <a:graphicData uri="http://schemas.openxmlformats.org/drawingml/2006/picture">
                <pic:pic>
                  <pic:nvPicPr>
                    <pic:cNvPr id="0" name="04-flowchart.png"/>
                    <pic:cNvPicPr/>
                  </pic:nvPicPr>
                  <pic:blipFill>
                    <a:blip r:embed="rId25"/>
                    <a:stretch>
                      <a:fillRect/>
                    </a:stretch>
                  </pic:blipFill>
                  <pic:spPr>
                    <a:xfrm>
                      <a:off x="0" y="0"/>
                      <a:ext cx="5897880" cy="3317558"/>
                    </a:xfrm>
                    <a:prstGeom prst="rect"/>
                  </pic:spPr>
                </pic:pic>
              </a:graphicData>
            </a:graphic>
          </wp:inline>
        </w:drawing>
      </w:r>
    </w:p>
    <w:p>
      <w:pPr>
        <w:pStyle w:val="Caption"/>
        <w:jc w:val="center"/>
      </w:pPr>
      <w:r>
        <w:t>Diagram 4.B — alur kerja Kulakan: PR, PO, BAST, Tagihan, dan Pembayaran</w:t>
      </w:r>
    </w:p>
    <w:p>
      <w:pPr>
        <w:pStyle w:val="Heading2"/>
      </w:pPr>
      <w:r>
        <w:t>ERD dan aliran data</w:t>
      </w:r>
    </w:p>
    <w:p>
      <w:pPr>
        <w:jc w:val="center"/>
      </w:pPr>
      <w:r>
        <w:drawing>
          <wp:inline xmlns:a="http://schemas.openxmlformats.org/drawingml/2006/main" xmlns:pic="http://schemas.openxmlformats.org/drawingml/2006/picture">
            <wp:extent cx="5897880" cy="3317558"/>
            <wp:docPr id="16" name="Picture 16"/>
            <wp:cNvGraphicFramePr>
              <a:graphicFrameLocks noChangeAspect="1"/>
            </wp:cNvGraphicFramePr>
            <a:graphic>
              <a:graphicData uri="http://schemas.openxmlformats.org/drawingml/2006/picture">
                <pic:pic>
                  <pic:nvPicPr>
                    <pic:cNvPr id="0" name="04-erd-dataflow.png"/>
                    <pic:cNvPicPr/>
                  </pic:nvPicPr>
                  <pic:blipFill>
                    <a:blip r:embed="rId26"/>
                    <a:stretch>
                      <a:fillRect/>
                    </a:stretch>
                  </pic:blipFill>
                  <pic:spPr>
                    <a:xfrm>
                      <a:off x="0" y="0"/>
                      <a:ext cx="5897880" cy="3317558"/>
                    </a:xfrm>
                    <a:prstGeom prst="rect"/>
                  </pic:spPr>
                </pic:pic>
              </a:graphicData>
            </a:graphic>
          </wp:inline>
        </w:drawing>
      </w:r>
    </w:p>
    <w:p>
      <w:pPr>
        <w:pStyle w:val="Caption"/>
        <w:jc w:val="center"/>
      </w:pPr>
      <w:r>
        <w:t>Diagram 4.C — model konseptual dan aliran data Kulakan: PR, PO, BAST, Tagihan, dan Pembayaran</w:t>
      </w:r>
    </w:p>
    <w:p>
      <w:pPr>
        <w:pStyle w:val="Heading2"/>
      </w:pPr>
      <w:r>
        <w:t>Checklist operator dan acceptance</w:t>
      </w:r>
    </w:p>
    <w:p>
      <w:pPr>
        <w:pStyle w:val="ListNumber"/>
        <w:ind w:left="540" w:hanging="269"/>
      </w:pPr>
      <w:r>
        <w:t>PR + justifikasi</w:t>
      </w:r>
    </w:p>
    <w:p>
      <w:pPr>
        <w:pStyle w:val="ListNumber"/>
        <w:ind w:left="540" w:hanging="269"/>
      </w:pPr>
      <w:r>
        <w:t>Persetujuan</w:t>
      </w:r>
    </w:p>
    <w:p>
      <w:pPr>
        <w:pStyle w:val="ListNumber"/>
        <w:ind w:left="540" w:hanging="269"/>
      </w:pPr>
      <w:r>
        <w:t>PO ke vendor</w:t>
      </w:r>
    </w:p>
    <w:p>
      <w:pPr>
        <w:pStyle w:val="ListNumber"/>
        <w:ind w:left="540" w:hanging="269"/>
      </w:pPr>
      <w:r>
        <w:t>BAST &amp; batch</w:t>
      </w:r>
    </w:p>
    <w:p>
      <w:pPr>
        <w:pStyle w:val="ListNumber"/>
        <w:ind w:left="540" w:hanging="269"/>
      </w:pPr>
      <w:r>
        <w:t>Terima tagihan</w:t>
      </w:r>
    </w:p>
    <w:p>
      <w:pPr>
        <w:pStyle w:val="ListNumber"/>
        <w:ind w:left="540" w:hanging="269"/>
      </w:pPr>
      <w:r>
        <w:t>Bayar vendor</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100 dokumen per tahap terhubung konsisten, tidak ada pembayaran tanpa tagihan disetujui, serta filter pembayaran diperbaiki dan diretest terhadap marker rilis</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5. Pengelolaan Stok Semua Obat dan Alat Kesehatan</w:t>
      </w:r>
    </w:p>
    <w:p>
      <w:pPr>
        <w:jc w:val="center"/>
      </w:pPr>
      <w:r>
        <w:drawing>
          <wp:inline xmlns:a="http://schemas.openxmlformats.org/drawingml/2006/main" xmlns:pic="http://schemas.openxmlformats.org/drawingml/2006/picture">
            <wp:extent cx="5897880" cy="3317558"/>
            <wp:docPr id="17" name="Picture 17"/>
            <wp:cNvGraphicFramePr>
              <a:graphicFrameLocks noChangeAspect="1"/>
            </wp:cNvGraphicFramePr>
            <a:graphic>
              <a:graphicData uri="http://schemas.openxmlformats.org/drawingml/2006/picture">
                <pic:pic>
                  <pic:nvPicPr>
                    <pic:cNvPr id="0" name="03-formularium-obat.png"/>
                    <pic:cNvPicPr/>
                  </pic:nvPicPr>
                  <pic:blipFill>
                    <a:blip r:embed="rId27"/>
                    <a:stretch>
                      <a:fillRect/>
                    </a:stretch>
                  </pic:blipFill>
                  <pic:spPr>
                    <a:xfrm>
                      <a:off x="0" y="0"/>
                      <a:ext cx="5897880" cy="3317558"/>
                    </a:xfrm>
                    <a:prstGeom prst="rect"/>
                  </pic:spPr>
                </pic:pic>
              </a:graphicData>
            </a:graphic>
          </wp:inline>
        </w:drawing>
      </w:r>
    </w:p>
    <w:p>
      <w:pPr>
        <w:pStyle w:val="Caption"/>
        <w:jc w:val="center"/>
      </w:pPr>
      <w:r>
        <w:t>Bukti 5. Formularium/katalog Apotik yang tersedia pada deployment demo.</w:t>
      </w:r>
    </w:p>
    <w:p>
      <w:pPr>
        <w:pStyle w:val="Heading2"/>
      </w:pPr>
      <w:r>
        <w:t>Narasi UAT dan petunjuk penggunaan</w:t>
      </w:r>
    </w:p>
    <w:p>
      <w:r>
        <w:t>Bukti layar untuk Pengelolaan Stok Semua Obat dan Alat Kesehatan dipakai sebagai titik masuk pemeriksaan UAT sekaligus panduan kerja operator. Tujuan pengujian bukan hanya memastikan halaman dapat terbuka, melainkan memastikan rangkaian keputusan, data, otorisasi, dan jejak audit tetap konsisten dari awal sampai akhir. Aktor yang terlibat adalah Petugas gudang, Apoteker, Kasir, Auditor stok.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Buat/validasi item; Kelompokkan kategori; Terima batch; Mutasi/penjualan; Hitung fisik; Rekonsiliasi selisih.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ITEM</w:t>
        <w:br/>
        <w:t>kode, kategori, BATCH</w:t>
        <w:br/>
        <w:t>lot, ED, MUTASI</w:t>
        <w:br/>
        <w:t>masuk/keluar, LOKASI</w:t>
        <w:br/>
        <w:t>rak, gudang, OPNAME</w:t>
        <w:br/>
        <w:t>fisik, selisih.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pencarian katalog pada deployment demo hanya mengembalikan dua item dan satu item non-terkendali yang layak dipakai untuk uji transaksi. Provision telah dijalankan, tetapi volume master obat yang diminta belum muncul di endpoint katalog. Uji 100 transaksi tetap dapat dilakukan melalui top-up batch idempoten. Status formalnya BLOCKED data master volume / PASS fungsi stok yang terpakai.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Pengelolaan Stok Semua Obat dan Alat Kesehatan adalah keunikan kode, kategori obat jadi, bahan racikan, alat kesehatan, satuan, batch, FEFO, stok negatif, mutasi, dan stock opname.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minimal 100 item lintas kategori tersedia dan dapat ditelusuri per batch/lokasi; mutasi dari penerimaan, penjualan, racikan, retur, dan opname menghasilkan saldo yang dapat direkonsiliasi.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BLOCKED data master volume / PASS fungsi stok yang terpakai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997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18" name="Picture 18"/>
            <wp:cNvGraphicFramePr>
              <a:graphicFrameLocks noChangeAspect="1"/>
            </wp:cNvGraphicFramePr>
            <a:graphic>
              <a:graphicData uri="http://schemas.openxmlformats.org/drawingml/2006/picture">
                <pic:pic>
                  <pic:nvPicPr>
                    <pic:cNvPr id="0" name="05-use-case.png"/>
                    <pic:cNvPicPr/>
                  </pic:nvPicPr>
                  <pic:blipFill>
                    <a:blip r:embed="rId28"/>
                    <a:stretch>
                      <a:fillRect/>
                    </a:stretch>
                  </pic:blipFill>
                  <pic:spPr>
                    <a:xfrm>
                      <a:off x="0" y="0"/>
                      <a:ext cx="5897880" cy="3317558"/>
                    </a:xfrm>
                    <a:prstGeom prst="rect"/>
                  </pic:spPr>
                </pic:pic>
              </a:graphicData>
            </a:graphic>
          </wp:inline>
        </w:drawing>
      </w:r>
    </w:p>
    <w:p>
      <w:pPr>
        <w:pStyle w:val="Caption"/>
        <w:jc w:val="center"/>
      </w:pPr>
      <w:r>
        <w:t>Diagram 5.A — use case Pengelolaan Stok Semua Obat dan Alat Kesehatan</w:t>
      </w:r>
    </w:p>
    <w:p>
      <w:pPr>
        <w:pStyle w:val="Heading2"/>
      </w:pPr>
      <w:r>
        <w:t>Flowchart</w:t>
      </w:r>
    </w:p>
    <w:p>
      <w:pPr>
        <w:jc w:val="center"/>
      </w:pPr>
      <w:r>
        <w:drawing>
          <wp:inline xmlns:a="http://schemas.openxmlformats.org/drawingml/2006/main" xmlns:pic="http://schemas.openxmlformats.org/drawingml/2006/picture">
            <wp:extent cx="5897880" cy="3317558"/>
            <wp:docPr id="19" name="Picture 19"/>
            <wp:cNvGraphicFramePr>
              <a:graphicFrameLocks noChangeAspect="1"/>
            </wp:cNvGraphicFramePr>
            <a:graphic>
              <a:graphicData uri="http://schemas.openxmlformats.org/drawingml/2006/picture">
                <pic:pic>
                  <pic:nvPicPr>
                    <pic:cNvPr id="0" name="05-flowchart.png"/>
                    <pic:cNvPicPr/>
                  </pic:nvPicPr>
                  <pic:blipFill>
                    <a:blip r:embed="rId29"/>
                    <a:stretch>
                      <a:fillRect/>
                    </a:stretch>
                  </pic:blipFill>
                  <pic:spPr>
                    <a:xfrm>
                      <a:off x="0" y="0"/>
                      <a:ext cx="5897880" cy="3317558"/>
                    </a:xfrm>
                    <a:prstGeom prst="rect"/>
                  </pic:spPr>
                </pic:pic>
              </a:graphicData>
            </a:graphic>
          </wp:inline>
        </w:drawing>
      </w:r>
    </w:p>
    <w:p>
      <w:pPr>
        <w:pStyle w:val="Caption"/>
        <w:jc w:val="center"/>
      </w:pPr>
      <w:r>
        <w:t>Diagram 5.B — alur kerja Pengelolaan Stok Semua Obat dan Alat Kesehatan</w:t>
      </w:r>
    </w:p>
    <w:p>
      <w:pPr>
        <w:pStyle w:val="Heading2"/>
      </w:pPr>
      <w:r>
        <w:t>ERD dan aliran data</w:t>
      </w:r>
    </w:p>
    <w:p>
      <w:pPr>
        <w:jc w:val="center"/>
      </w:pPr>
      <w:r>
        <w:drawing>
          <wp:inline xmlns:a="http://schemas.openxmlformats.org/drawingml/2006/main" xmlns:pic="http://schemas.openxmlformats.org/drawingml/2006/picture">
            <wp:extent cx="5897880" cy="3317558"/>
            <wp:docPr id="20" name="Picture 20"/>
            <wp:cNvGraphicFramePr>
              <a:graphicFrameLocks noChangeAspect="1"/>
            </wp:cNvGraphicFramePr>
            <a:graphic>
              <a:graphicData uri="http://schemas.openxmlformats.org/drawingml/2006/picture">
                <pic:pic>
                  <pic:nvPicPr>
                    <pic:cNvPr id="0" name="05-erd-dataflow.png"/>
                    <pic:cNvPicPr/>
                  </pic:nvPicPr>
                  <pic:blipFill>
                    <a:blip r:embed="rId30"/>
                    <a:stretch>
                      <a:fillRect/>
                    </a:stretch>
                  </pic:blipFill>
                  <pic:spPr>
                    <a:xfrm>
                      <a:off x="0" y="0"/>
                      <a:ext cx="5897880" cy="3317558"/>
                    </a:xfrm>
                    <a:prstGeom prst="rect"/>
                  </pic:spPr>
                </pic:pic>
              </a:graphicData>
            </a:graphic>
          </wp:inline>
        </w:drawing>
      </w:r>
    </w:p>
    <w:p>
      <w:pPr>
        <w:pStyle w:val="Caption"/>
        <w:jc w:val="center"/>
      </w:pPr>
      <w:r>
        <w:t>Diagram 5.C — model konseptual dan aliran data Pengelolaan Stok Semua Obat dan Alat Kesehatan</w:t>
      </w:r>
    </w:p>
    <w:p>
      <w:pPr>
        <w:pStyle w:val="Heading2"/>
      </w:pPr>
      <w:r>
        <w:t>Checklist operator dan acceptance</w:t>
      </w:r>
    </w:p>
    <w:p>
      <w:pPr>
        <w:pStyle w:val="ListNumber"/>
        <w:ind w:left="540" w:hanging="269"/>
      </w:pPr>
      <w:r>
        <w:t>Buat/validasi item</w:t>
      </w:r>
    </w:p>
    <w:p>
      <w:pPr>
        <w:pStyle w:val="ListNumber"/>
        <w:ind w:left="540" w:hanging="269"/>
      </w:pPr>
      <w:r>
        <w:t>Kelompokkan kategori</w:t>
      </w:r>
    </w:p>
    <w:p>
      <w:pPr>
        <w:pStyle w:val="ListNumber"/>
        <w:ind w:left="540" w:hanging="269"/>
      </w:pPr>
      <w:r>
        <w:t>Terima batch</w:t>
      </w:r>
    </w:p>
    <w:p>
      <w:pPr>
        <w:pStyle w:val="ListNumber"/>
        <w:ind w:left="540" w:hanging="269"/>
      </w:pPr>
      <w:r>
        <w:t>Mutasi/penjualan</w:t>
      </w:r>
    </w:p>
    <w:p>
      <w:pPr>
        <w:pStyle w:val="ListNumber"/>
        <w:ind w:left="540" w:hanging="269"/>
      </w:pPr>
      <w:r>
        <w:t>Hitung fisik</w:t>
      </w:r>
    </w:p>
    <w:p>
      <w:pPr>
        <w:pStyle w:val="ListNumber"/>
        <w:ind w:left="540" w:hanging="269"/>
      </w:pPr>
      <w:r>
        <w:t>Rekonsiliasi selisih</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minimal 100 item lintas kategori tersedia dan dapat ditelusuri per batch/lokasi; mutasi dari penerimaan, penjualan, racikan, retur, dan opname menghasilkan saldo yang dapat direkonsiliasi</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6. Pengelolaan Tanggal Kedaluwarsa</w:t>
      </w:r>
    </w:p>
    <w:p>
      <w:pPr>
        <w:jc w:val="center"/>
      </w:pPr>
      <w:r>
        <w:drawing>
          <wp:inline xmlns:a="http://schemas.openxmlformats.org/drawingml/2006/main" xmlns:pic="http://schemas.openxmlformats.org/drawingml/2006/picture">
            <wp:extent cx="5897880" cy="3317558"/>
            <wp:docPr id="21" name="Picture 21"/>
            <wp:cNvGraphicFramePr>
              <a:graphicFrameLocks noChangeAspect="1"/>
            </wp:cNvGraphicFramePr>
            <a:graphic>
              <a:graphicData uri="http://schemas.openxmlformats.org/drawingml/2006/picture">
                <pic:pic>
                  <pic:nvPicPr>
                    <pic:cNvPr id="0" name="04-batch-kedaluwarsa.png"/>
                    <pic:cNvPicPr/>
                  </pic:nvPicPr>
                  <pic:blipFill>
                    <a:blip r:embed="rId31"/>
                    <a:stretch>
                      <a:fillRect/>
                    </a:stretch>
                  </pic:blipFill>
                  <pic:spPr>
                    <a:xfrm>
                      <a:off x="0" y="0"/>
                      <a:ext cx="5897880" cy="3317558"/>
                    </a:xfrm>
                    <a:prstGeom prst="rect"/>
                  </pic:spPr>
                </pic:pic>
              </a:graphicData>
            </a:graphic>
          </wp:inline>
        </w:drawing>
      </w:r>
    </w:p>
    <w:p>
      <w:pPr>
        <w:pStyle w:val="Caption"/>
        <w:jc w:val="center"/>
      </w:pPr>
      <w:r>
        <w:t>Bukti 6. Monitor batch dan kedaluwarsa pada POS Apotik.</w:t>
      </w:r>
    </w:p>
    <w:p>
      <w:pPr>
        <w:pStyle w:val="Heading2"/>
      </w:pPr>
      <w:r>
        <w:t>Narasi UAT dan petunjuk penggunaan</w:t>
      </w:r>
    </w:p>
    <w:p>
      <w:r>
        <w:t>Bukti layar untuk Pengelolaan Tanggal Kedaluwarsa dipakai sebagai titik masuk pemeriksaan UAT sekaligus panduan kerja operator. Tujuan pengujian bukan hanya memastikan halaman dapat terbuka, melainkan memastikan rangkaian keputusan, data, otorisasi, dan jejak audit tetap konsisten dari awal sampai akhir. Aktor yang terlibat adalah Sistem, Gudang, Apoteker, Supervisor.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Terima lot; Validasi ED; Simpan batch; Pantau horizon; Karantina jika tidak layak; Retur/musnahkan.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ITEM</w:t>
        <w:br/>
        <w:t>kode, BATCH</w:t>
        <w:br/>
        <w:t>lot, ED, ALERT</w:t>
        <w:br/>
        <w:t>horizon, status, KARANTINA</w:t>
        <w:br/>
        <w:t>alasan, DISPOSISI</w:t>
        <w:br/>
        <w:t>retur/musnah.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monitor batch dan laporan kedaluwarsa berhasil diakses; run akhir mendeteksi setidaknya satu batch kedaluwarsa ketika memilih batch uji dan laporan API mengembalikan baris data. Algoritme kemudian memilih batch aktif dengan sisa tertinggi untuk mencegah false failure akibat batch FEFO yang hampir habis. Status formalnya PASS monitoring / perlu sign-off SOP disposisi.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Pengelolaan Tanggal Kedaluwarsa adalah format tanggal, zona waktu, horizon peringatan, FEFO, larangan batch lewat ED, karantina, otorisasi retur/pemusnahan, dan audit trail.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batch kedaluwarsa selalu ditolak dari transaksi, batch mendekati ED tampil dalam monitoring, dan setiap disposisi mempunyai alasan, jumlah, petugas, persetujuan, serta bukti.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monitoring / perlu sign-off SOP disposisi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976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22" name="Picture 22"/>
            <wp:cNvGraphicFramePr>
              <a:graphicFrameLocks noChangeAspect="1"/>
            </wp:cNvGraphicFramePr>
            <a:graphic>
              <a:graphicData uri="http://schemas.openxmlformats.org/drawingml/2006/picture">
                <pic:pic>
                  <pic:nvPicPr>
                    <pic:cNvPr id="0" name="06-use-case.png"/>
                    <pic:cNvPicPr/>
                  </pic:nvPicPr>
                  <pic:blipFill>
                    <a:blip r:embed="rId32"/>
                    <a:stretch>
                      <a:fillRect/>
                    </a:stretch>
                  </pic:blipFill>
                  <pic:spPr>
                    <a:xfrm>
                      <a:off x="0" y="0"/>
                      <a:ext cx="5897880" cy="3317558"/>
                    </a:xfrm>
                    <a:prstGeom prst="rect"/>
                  </pic:spPr>
                </pic:pic>
              </a:graphicData>
            </a:graphic>
          </wp:inline>
        </w:drawing>
      </w:r>
    </w:p>
    <w:p>
      <w:pPr>
        <w:pStyle w:val="Caption"/>
        <w:jc w:val="center"/>
      </w:pPr>
      <w:r>
        <w:t>Diagram 6.A — use case Pengelolaan Tanggal Kedaluwarsa</w:t>
      </w:r>
    </w:p>
    <w:p>
      <w:pPr>
        <w:pStyle w:val="Heading2"/>
      </w:pPr>
      <w:r>
        <w:t>Flowchart</w:t>
      </w:r>
    </w:p>
    <w:p>
      <w:pPr>
        <w:jc w:val="center"/>
      </w:pPr>
      <w:r>
        <w:drawing>
          <wp:inline xmlns:a="http://schemas.openxmlformats.org/drawingml/2006/main" xmlns:pic="http://schemas.openxmlformats.org/drawingml/2006/picture">
            <wp:extent cx="5897880" cy="3317558"/>
            <wp:docPr id="23" name="Picture 23"/>
            <wp:cNvGraphicFramePr>
              <a:graphicFrameLocks noChangeAspect="1"/>
            </wp:cNvGraphicFramePr>
            <a:graphic>
              <a:graphicData uri="http://schemas.openxmlformats.org/drawingml/2006/picture">
                <pic:pic>
                  <pic:nvPicPr>
                    <pic:cNvPr id="0" name="06-flowchart.png"/>
                    <pic:cNvPicPr/>
                  </pic:nvPicPr>
                  <pic:blipFill>
                    <a:blip r:embed="rId33"/>
                    <a:stretch>
                      <a:fillRect/>
                    </a:stretch>
                  </pic:blipFill>
                  <pic:spPr>
                    <a:xfrm>
                      <a:off x="0" y="0"/>
                      <a:ext cx="5897880" cy="3317558"/>
                    </a:xfrm>
                    <a:prstGeom prst="rect"/>
                  </pic:spPr>
                </pic:pic>
              </a:graphicData>
            </a:graphic>
          </wp:inline>
        </w:drawing>
      </w:r>
    </w:p>
    <w:p>
      <w:pPr>
        <w:pStyle w:val="Caption"/>
        <w:jc w:val="center"/>
      </w:pPr>
      <w:r>
        <w:t>Diagram 6.B — alur kerja Pengelolaan Tanggal Kedaluwarsa</w:t>
      </w:r>
    </w:p>
    <w:p>
      <w:pPr>
        <w:pStyle w:val="Heading2"/>
      </w:pPr>
      <w:r>
        <w:t>ERD dan aliran data</w:t>
      </w:r>
    </w:p>
    <w:p>
      <w:pPr>
        <w:jc w:val="center"/>
      </w:pPr>
      <w:r>
        <w:drawing>
          <wp:inline xmlns:a="http://schemas.openxmlformats.org/drawingml/2006/main" xmlns:pic="http://schemas.openxmlformats.org/drawingml/2006/picture">
            <wp:extent cx="5897880" cy="3317558"/>
            <wp:docPr id="24" name="Picture 24"/>
            <wp:cNvGraphicFramePr>
              <a:graphicFrameLocks noChangeAspect="1"/>
            </wp:cNvGraphicFramePr>
            <a:graphic>
              <a:graphicData uri="http://schemas.openxmlformats.org/drawingml/2006/picture">
                <pic:pic>
                  <pic:nvPicPr>
                    <pic:cNvPr id="0" name="06-erd-dataflow.png"/>
                    <pic:cNvPicPr/>
                  </pic:nvPicPr>
                  <pic:blipFill>
                    <a:blip r:embed="rId34"/>
                    <a:stretch>
                      <a:fillRect/>
                    </a:stretch>
                  </pic:blipFill>
                  <pic:spPr>
                    <a:xfrm>
                      <a:off x="0" y="0"/>
                      <a:ext cx="5897880" cy="3317558"/>
                    </a:xfrm>
                    <a:prstGeom prst="rect"/>
                  </pic:spPr>
                </pic:pic>
              </a:graphicData>
            </a:graphic>
          </wp:inline>
        </w:drawing>
      </w:r>
    </w:p>
    <w:p>
      <w:pPr>
        <w:pStyle w:val="Caption"/>
        <w:jc w:val="center"/>
      </w:pPr>
      <w:r>
        <w:t>Diagram 6.C — model konseptual dan aliran data Pengelolaan Tanggal Kedaluwarsa</w:t>
      </w:r>
    </w:p>
    <w:p>
      <w:pPr>
        <w:pStyle w:val="Heading2"/>
      </w:pPr>
      <w:r>
        <w:t>Checklist operator dan acceptance</w:t>
      </w:r>
    </w:p>
    <w:p>
      <w:pPr>
        <w:pStyle w:val="ListNumber"/>
        <w:ind w:left="540" w:hanging="269"/>
      </w:pPr>
      <w:r>
        <w:t>Terima lot</w:t>
      </w:r>
    </w:p>
    <w:p>
      <w:pPr>
        <w:pStyle w:val="ListNumber"/>
        <w:ind w:left="540" w:hanging="269"/>
      </w:pPr>
      <w:r>
        <w:t>Validasi ED</w:t>
      </w:r>
    </w:p>
    <w:p>
      <w:pPr>
        <w:pStyle w:val="ListNumber"/>
        <w:ind w:left="540" w:hanging="269"/>
      </w:pPr>
      <w:r>
        <w:t>Simpan batch</w:t>
      </w:r>
    </w:p>
    <w:p>
      <w:pPr>
        <w:pStyle w:val="ListNumber"/>
        <w:ind w:left="540" w:hanging="269"/>
      </w:pPr>
      <w:r>
        <w:t>Pantau horizon</w:t>
      </w:r>
    </w:p>
    <w:p>
      <w:pPr>
        <w:pStyle w:val="ListNumber"/>
        <w:ind w:left="540" w:hanging="269"/>
      </w:pPr>
      <w:r>
        <w:t>Karantina jika tidak layak</w:t>
      </w:r>
    </w:p>
    <w:p>
      <w:pPr>
        <w:pStyle w:val="ListNumber"/>
        <w:ind w:left="540" w:hanging="269"/>
      </w:pPr>
      <w:r>
        <w:t>Retur/musnahkan</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batch kedaluwarsa selalu ditolak dari transaksi, batch mendekati ED tampil dalam monitoring, dan setiap disposisi mempunyai alasan, jumlah, petugas, persetujuan, serta bukti</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7. Akuntansi: Jurnal dan Posting</w:t>
      </w:r>
    </w:p>
    <w:p>
      <w:pPr>
        <w:jc w:val="center"/>
      </w:pPr>
      <w:r>
        <w:drawing>
          <wp:inline xmlns:a="http://schemas.openxmlformats.org/drawingml/2006/main" xmlns:pic="http://schemas.openxmlformats.org/drawingml/2006/picture">
            <wp:extent cx="5897880" cy="3317558"/>
            <wp:docPr id="25" name="Picture 25"/>
            <wp:cNvGraphicFramePr>
              <a:graphicFrameLocks noChangeAspect="1"/>
            </wp:cNvGraphicFramePr>
            <a:graphic>
              <a:graphicData uri="http://schemas.openxmlformats.org/drawingml/2006/picture">
                <pic:pic>
                  <pic:nvPicPr>
                    <pic:cNvPr id="0" name="08-draft-jurnal.png"/>
                    <pic:cNvPicPr/>
                  </pic:nvPicPr>
                  <pic:blipFill>
                    <a:blip r:embed="rId35"/>
                    <a:stretch>
                      <a:fillRect/>
                    </a:stretch>
                  </pic:blipFill>
                  <pic:spPr>
                    <a:xfrm>
                      <a:off x="0" y="0"/>
                      <a:ext cx="5897880" cy="3317558"/>
                    </a:xfrm>
                    <a:prstGeom prst="rect"/>
                  </pic:spPr>
                </pic:pic>
              </a:graphicData>
            </a:graphic>
          </wp:inline>
        </w:drawing>
      </w:r>
    </w:p>
    <w:p>
      <w:pPr>
        <w:pStyle w:val="Caption"/>
        <w:jc w:val="center"/>
      </w:pPr>
      <w:r>
        <w:t>Bukti 7. Dashboard Draft Jurnal setelah pengujian vendor dan posting.</w:t>
      </w:r>
    </w:p>
    <w:p>
      <w:pPr>
        <w:pStyle w:val="Heading2"/>
      </w:pPr>
      <w:r>
        <w:t>Narasi UAT dan petunjuk penggunaan</w:t>
      </w:r>
    </w:p>
    <w:p>
      <w:r>
        <w:t>Bukti layar untuk Akuntansi: Jurnal dan Posting dipakai sebagai titik masuk pemeriksaan UAT sekaligus panduan kerja operator. Tujuan pengujian bukan hanya memastikan halaman dapat terbuka, melainkan memastikan rangkaian keputusan, data, otorisasi, dan jejak audit tetap konsisten dari awal sampai akhir. Aktor yang terlibat adalah Keuangan, Akuntan, Approver, Auditor.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Dokumen sumber; Preview/mapping akun; Jurnal draf; Validasi seimbang; Posting; Rekonsiliasi.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DOKUMEN SUMBER</w:t>
        <w:br/>
        <w:t>pembayaran, JURNAL</w:t>
        <w:br/>
        <w:t>tanggal, referensi, DETAIL JURNAL</w:t>
        <w:br/>
        <w:t>akun, D/K, BUKU BESAR</w:t>
        <w:br/>
        <w:t>posting, AUDIT</w:t>
        <w:br/>
        <w:t>user, waktu.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100 pembayaran vendor diperiksa, 100 jurnal dibuat, 100 diposting pada run, dan 100 diverifikasi terposting. Mapping UAT memakai debit 310.500 HUTANG VENDOR dan kredit 111.101 KAS YAYASAN. Dashboard tenant bersama kemudian menampilkan 777 draf, 151 posted, total 928; angka dashboard tidak semuanya berasal dari run ini. Status formalnya PASS jurnal vendor / BLOCKED posting otomatis tertentu.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Akuntansi: Jurnal dan Posting adalah pemetaan COA, keseimbangan, periode, approval, referensi sumber, pencegahan posting ganda, reversal, dan rekonsiliasi.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100 jurnal berstatus posted satu kali, total debit sama dengan kredit, akun sesuai workbook, dan buku besar dapat menelusuri kembali pembayaran vendor.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jurnal vendor / BLOCKED posting otomatis tertentu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982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26" name="Picture 26"/>
            <wp:cNvGraphicFramePr>
              <a:graphicFrameLocks noChangeAspect="1"/>
            </wp:cNvGraphicFramePr>
            <a:graphic>
              <a:graphicData uri="http://schemas.openxmlformats.org/drawingml/2006/picture">
                <pic:pic>
                  <pic:nvPicPr>
                    <pic:cNvPr id="0" name="07-use-case.png"/>
                    <pic:cNvPicPr/>
                  </pic:nvPicPr>
                  <pic:blipFill>
                    <a:blip r:embed="rId36"/>
                    <a:stretch>
                      <a:fillRect/>
                    </a:stretch>
                  </pic:blipFill>
                  <pic:spPr>
                    <a:xfrm>
                      <a:off x="0" y="0"/>
                      <a:ext cx="5897880" cy="3317558"/>
                    </a:xfrm>
                    <a:prstGeom prst="rect"/>
                  </pic:spPr>
                </pic:pic>
              </a:graphicData>
            </a:graphic>
          </wp:inline>
        </w:drawing>
      </w:r>
    </w:p>
    <w:p>
      <w:pPr>
        <w:pStyle w:val="Caption"/>
        <w:jc w:val="center"/>
      </w:pPr>
      <w:r>
        <w:t>Diagram 7.A — use case Akuntansi: Jurnal dan Posting</w:t>
      </w:r>
    </w:p>
    <w:p>
      <w:pPr>
        <w:pStyle w:val="Heading2"/>
      </w:pPr>
      <w:r>
        <w:t>Flowchart</w:t>
      </w:r>
    </w:p>
    <w:p>
      <w:pPr>
        <w:jc w:val="center"/>
      </w:pPr>
      <w:r>
        <w:drawing>
          <wp:inline xmlns:a="http://schemas.openxmlformats.org/drawingml/2006/main" xmlns:pic="http://schemas.openxmlformats.org/drawingml/2006/picture">
            <wp:extent cx="5897880" cy="3317558"/>
            <wp:docPr id="27" name="Picture 27"/>
            <wp:cNvGraphicFramePr>
              <a:graphicFrameLocks noChangeAspect="1"/>
            </wp:cNvGraphicFramePr>
            <a:graphic>
              <a:graphicData uri="http://schemas.openxmlformats.org/drawingml/2006/picture">
                <pic:pic>
                  <pic:nvPicPr>
                    <pic:cNvPr id="0" name="07-flowchart.png"/>
                    <pic:cNvPicPr/>
                  </pic:nvPicPr>
                  <pic:blipFill>
                    <a:blip r:embed="rId37"/>
                    <a:stretch>
                      <a:fillRect/>
                    </a:stretch>
                  </pic:blipFill>
                  <pic:spPr>
                    <a:xfrm>
                      <a:off x="0" y="0"/>
                      <a:ext cx="5897880" cy="3317558"/>
                    </a:xfrm>
                    <a:prstGeom prst="rect"/>
                  </pic:spPr>
                </pic:pic>
              </a:graphicData>
            </a:graphic>
          </wp:inline>
        </w:drawing>
      </w:r>
    </w:p>
    <w:p>
      <w:pPr>
        <w:pStyle w:val="Caption"/>
        <w:jc w:val="center"/>
      </w:pPr>
      <w:r>
        <w:t>Diagram 7.B — alur kerja Akuntansi: Jurnal dan Posting</w:t>
      </w:r>
    </w:p>
    <w:p>
      <w:pPr>
        <w:pStyle w:val="Heading2"/>
      </w:pPr>
      <w:r>
        <w:t>ERD dan aliran data</w:t>
      </w:r>
    </w:p>
    <w:p>
      <w:pPr>
        <w:jc w:val="center"/>
      </w:pPr>
      <w:r>
        <w:drawing>
          <wp:inline xmlns:a="http://schemas.openxmlformats.org/drawingml/2006/main" xmlns:pic="http://schemas.openxmlformats.org/drawingml/2006/picture">
            <wp:extent cx="5897880" cy="3317558"/>
            <wp:docPr id="28" name="Picture 28"/>
            <wp:cNvGraphicFramePr>
              <a:graphicFrameLocks noChangeAspect="1"/>
            </wp:cNvGraphicFramePr>
            <a:graphic>
              <a:graphicData uri="http://schemas.openxmlformats.org/drawingml/2006/picture">
                <pic:pic>
                  <pic:nvPicPr>
                    <pic:cNvPr id="0" name="07-erd-dataflow.png"/>
                    <pic:cNvPicPr/>
                  </pic:nvPicPr>
                  <pic:blipFill>
                    <a:blip r:embed="rId38"/>
                    <a:stretch>
                      <a:fillRect/>
                    </a:stretch>
                  </pic:blipFill>
                  <pic:spPr>
                    <a:xfrm>
                      <a:off x="0" y="0"/>
                      <a:ext cx="5897880" cy="3317558"/>
                    </a:xfrm>
                    <a:prstGeom prst="rect"/>
                  </pic:spPr>
                </pic:pic>
              </a:graphicData>
            </a:graphic>
          </wp:inline>
        </w:drawing>
      </w:r>
    </w:p>
    <w:p>
      <w:pPr>
        <w:pStyle w:val="Caption"/>
        <w:jc w:val="center"/>
      </w:pPr>
      <w:r>
        <w:t>Diagram 7.C — model konseptual dan aliran data Akuntansi: Jurnal dan Posting</w:t>
      </w:r>
    </w:p>
    <w:p>
      <w:pPr>
        <w:pStyle w:val="Heading2"/>
      </w:pPr>
      <w:r>
        <w:t>Checklist operator dan acceptance</w:t>
      </w:r>
    </w:p>
    <w:p>
      <w:pPr>
        <w:pStyle w:val="ListNumber"/>
        <w:ind w:left="540" w:hanging="269"/>
      </w:pPr>
      <w:r>
        <w:t>Dokumen sumber</w:t>
      </w:r>
    </w:p>
    <w:p>
      <w:pPr>
        <w:pStyle w:val="ListNumber"/>
        <w:ind w:left="540" w:hanging="269"/>
      </w:pPr>
      <w:r>
        <w:t>Preview/mapping akun</w:t>
      </w:r>
    </w:p>
    <w:p>
      <w:pPr>
        <w:pStyle w:val="ListNumber"/>
        <w:ind w:left="540" w:hanging="269"/>
      </w:pPr>
      <w:r>
        <w:t>Jurnal draf</w:t>
      </w:r>
    </w:p>
    <w:p>
      <w:pPr>
        <w:pStyle w:val="ListNumber"/>
        <w:ind w:left="540" w:hanging="269"/>
      </w:pPr>
      <w:r>
        <w:t>Validasi seimbang</w:t>
      </w:r>
    </w:p>
    <w:p>
      <w:pPr>
        <w:pStyle w:val="ListNumber"/>
        <w:ind w:left="540" w:hanging="269"/>
      </w:pPr>
      <w:r>
        <w:t>Posting</w:t>
      </w:r>
    </w:p>
    <w:p>
      <w:pPr>
        <w:pStyle w:val="ListNumber"/>
        <w:ind w:left="540" w:hanging="269"/>
      </w:pPr>
      <w:r>
        <w:t>Rekonsiliasi</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100 jurnal berstatus posted satu kali, total debit sama dengan kredit, akun sesuai workbook, dan buku besar dapat menelusuri kembali pembayaran vendor</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8. Laporan Penjualan dan Kulakan</w:t>
      </w:r>
    </w:p>
    <w:p>
      <w:pPr>
        <w:jc w:val="center"/>
      </w:pPr>
      <w:r>
        <w:drawing>
          <wp:inline xmlns:a="http://schemas.openxmlformats.org/drawingml/2006/main" xmlns:pic="http://schemas.openxmlformats.org/drawingml/2006/picture">
            <wp:extent cx="5897880" cy="3317558"/>
            <wp:docPr id="29" name="Picture 29"/>
            <wp:cNvGraphicFramePr>
              <a:graphicFrameLocks noChangeAspect="1"/>
            </wp:cNvGraphicFramePr>
            <a:graphic>
              <a:graphicData uri="http://schemas.openxmlformats.org/drawingml/2006/picture">
                <pic:pic>
                  <pic:nvPicPr>
                    <pic:cNvPr id="0" name="09-laporan-penjualan.png"/>
                    <pic:cNvPicPr/>
                  </pic:nvPicPr>
                  <pic:blipFill>
                    <a:blip r:embed="rId39"/>
                    <a:stretch>
                      <a:fillRect/>
                    </a:stretch>
                  </pic:blipFill>
                  <pic:spPr>
                    <a:xfrm>
                      <a:off x="0" y="0"/>
                      <a:ext cx="5897880" cy="3317558"/>
                    </a:xfrm>
                    <a:prstGeom prst="rect"/>
                  </pic:spPr>
                </pic:pic>
              </a:graphicData>
            </a:graphic>
          </wp:inline>
        </w:drawing>
      </w:r>
    </w:p>
    <w:p>
      <w:pPr>
        <w:pStyle w:val="Caption"/>
        <w:jc w:val="center"/>
      </w:pPr>
      <w:r>
        <w:t>Bukti 8. Halaman laporan penjualan pada server demo setelah transaksi volume.</w:t>
      </w:r>
    </w:p>
    <w:p>
      <w:pPr>
        <w:pStyle w:val="Heading2"/>
      </w:pPr>
      <w:r>
        <w:t>Narasi UAT dan petunjuk penggunaan</w:t>
      </w:r>
    </w:p>
    <w:p>
      <w:r>
        <w:t>Bukti layar untuk Laporan Penjualan dan Kulakan dipakai sebagai titik masuk pemeriksaan UAT sekaligus panduan kerja operator. Tujuan pengujian bukan hanya memastikan halaman dapat terbuka, melainkan memastikan rangkaian keputusan, data, otorisasi, dan jejak audit tetap konsisten dari awal sampai akhir. Aktor yang terlibat adalah Supervisor Apotik, Procurement, Keuangan, Auditor.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Pilih laporan; Atur periode; Terapkan filter; Tampilkan agregat; Drill-down dokumen; Ekspor/rekonsiliasi.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PENJUALAN</w:t>
        <w:br/>
        <w:t>header/detail, PENGADAAN</w:t>
        <w:br/>
        <w:t>PR-PO-BAST, FILTER</w:t>
        <w:br/>
        <w:t>periode/toko, AGREGAT</w:t>
        <w:br/>
        <w:t>qty/nilai, EKSPOR</w:t>
        <w:br/>
        <w:t>rekonsiliasi.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endpoint laporan penjualan mengembalikan status success tetapi nol baris setelah 300 transaksi UAT; hal ini dicatat sebagai defect data/reporting, bukan PASS angka. Dashboard PR/PO/BAST/tagihan berhasil menunjukkan data pengadaan volume dan katalog laporan dapat dibuka. Status formalnya PASS akses layar / BLOCKED validasi isi laporan penjualan.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Laporan Penjualan dan Kulakan adalah cut-off, status final, void/retur, diskon, pajak, COGS, vendor, toko, pagination, total, drill-down, dan konsistensi ekspor.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300 transaksi muncul pada periode yang tepat dan totalnya cocok dengan detail; 100 rantai pengadaan dapat ditelusuri; agregat layar, ekspor, dan dokumen sumber mempunyai nilai yang sama.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akses layar / BLOCKED validasi isi laporan penjualan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980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30" name="Picture 30"/>
            <wp:cNvGraphicFramePr>
              <a:graphicFrameLocks noChangeAspect="1"/>
            </wp:cNvGraphicFramePr>
            <a:graphic>
              <a:graphicData uri="http://schemas.openxmlformats.org/drawingml/2006/picture">
                <pic:pic>
                  <pic:nvPicPr>
                    <pic:cNvPr id="0" name="08-use-case.png"/>
                    <pic:cNvPicPr/>
                  </pic:nvPicPr>
                  <pic:blipFill>
                    <a:blip r:embed="rId40"/>
                    <a:stretch>
                      <a:fillRect/>
                    </a:stretch>
                  </pic:blipFill>
                  <pic:spPr>
                    <a:xfrm>
                      <a:off x="0" y="0"/>
                      <a:ext cx="5897880" cy="3317558"/>
                    </a:xfrm>
                    <a:prstGeom prst="rect"/>
                  </pic:spPr>
                </pic:pic>
              </a:graphicData>
            </a:graphic>
          </wp:inline>
        </w:drawing>
      </w:r>
    </w:p>
    <w:p>
      <w:pPr>
        <w:pStyle w:val="Caption"/>
        <w:jc w:val="center"/>
      </w:pPr>
      <w:r>
        <w:t>Diagram 8.A — use case Laporan Penjualan dan Kulakan</w:t>
      </w:r>
    </w:p>
    <w:p>
      <w:pPr>
        <w:pStyle w:val="Heading2"/>
      </w:pPr>
      <w:r>
        <w:t>Flowchart</w:t>
      </w:r>
    </w:p>
    <w:p>
      <w:pPr>
        <w:jc w:val="center"/>
      </w:pPr>
      <w:r>
        <w:drawing>
          <wp:inline xmlns:a="http://schemas.openxmlformats.org/drawingml/2006/main" xmlns:pic="http://schemas.openxmlformats.org/drawingml/2006/picture">
            <wp:extent cx="5897880" cy="3317558"/>
            <wp:docPr id="31" name="Picture 31"/>
            <wp:cNvGraphicFramePr>
              <a:graphicFrameLocks noChangeAspect="1"/>
            </wp:cNvGraphicFramePr>
            <a:graphic>
              <a:graphicData uri="http://schemas.openxmlformats.org/drawingml/2006/picture">
                <pic:pic>
                  <pic:nvPicPr>
                    <pic:cNvPr id="0" name="08-flowchart.png"/>
                    <pic:cNvPicPr/>
                  </pic:nvPicPr>
                  <pic:blipFill>
                    <a:blip r:embed="rId41"/>
                    <a:stretch>
                      <a:fillRect/>
                    </a:stretch>
                  </pic:blipFill>
                  <pic:spPr>
                    <a:xfrm>
                      <a:off x="0" y="0"/>
                      <a:ext cx="5897880" cy="3317558"/>
                    </a:xfrm>
                    <a:prstGeom prst="rect"/>
                  </pic:spPr>
                </pic:pic>
              </a:graphicData>
            </a:graphic>
          </wp:inline>
        </w:drawing>
      </w:r>
    </w:p>
    <w:p>
      <w:pPr>
        <w:pStyle w:val="Caption"/>
        <w:jc w:val="center"/>
      </w:pPr>
      <w:r>
        <w:t>Diagram 8.B — alur kerja Laporan Penjualan dan Kulakan</w:t>
      </w:r>
    </w:p>
    <w:p>
      <w:pPr>
        <w:pStyle w:val="Heading2"/>
      </w:pPr>
      <w:r>
        <w:t>ERD dan aliran data</w:t>
      </w:r>
    </w:p>
    <w:p>
      <w:pPr>
        <w:jc w:val="center"/>
      </w:pPr>
      <w:r>
        <w:drawing>
          <wp:inline xmlns:a="http://schemas.openxmlformats.org/drawingml/2006/main" xmlns:pic="http://schemas.openxmlformats.org/drawingml/2006/picture">
            <wp:extent cx="5897880" cy="3317558"/>
            <wp:docPr id="32" name="Picture 32"/>
            <wp:cNvGraphicFramePr>
              <a:graphicFrameLocks noChangeAspect="1"/>
            </wp:cNvGraphicFramePr>
            <a:graphic>
              <a:graphicData uri="http://schemas.openxmlformats.org/drawingml/2006/picture">
                <pic:pic>
                  <pic:nvPicPr>
                    <pic:cNvPr id="0" name="08-erd-dataflow.png"/>
                    <pic:cNvPicPr/>
                  </pic:nvPicPr>
                  <pic:blipFill>
                    <a:blip r:embed="rId42"/>
                    <a:stretch>
                      <a:fillRect/>
                    </a:stretch>
                  </pic:blipFill>
                  <pic:spPr>
                    <a:xfrm>
                      <a:off x="0" y="0"/>
                      <a:ext cx="5897880" cy="3317558"/>
                    </a:xfrm>
                    <a:prstGeom prst="rect"/>
                  </pic:spPr>
                </pic:pic>
              </a:graphicData>
            </a:graphic>
          </wp:inline>
        </w:drawing>
      </w:r>
    </w:p>
    <w:p>
      <w:pPr>
        <w:pStyle w:val="Caption"/>
        <w:jc w:val="center"/>
      </w:pPr>
      <w:r>
        <w:t>Diagram 8.C — model konseptual dan aliran data Laporan Penjualan dan Kulakan</w:t>
      </w:r>
    </w:p>
    <w:p>
      <w:pPr>
        <w:pStyle w:val="Heading2"/>
      </w:pPr>
      <w:r>
        <w:t>Checklist operator dan acceptance</w:t>
      </w:r>
    </w:p>
    <w:p>
      <w:pPr>
        <w:pStyle w:val="ListNumber"/>
        <w:ind w:left="540" w:hanging="269"/>
      </w:pPr>
      <w:r>
        <w:t>Pilih laporan</w:t>
      </w:r>
    </w:p>
    <w:p>
      <w:pPr>
        <w:pStyle w:val="ListNumber"/>
        <w:ind w:left="540" w:hanging="269"/>
      </w:pPr>
      <w:r>
        <w:t>Atur periode</w:t>
      </w:r>
    </w:p>
    <w:p>
      <w:pPr>
        <w:pStyle w:val="ListNumber"/>
        <w:ind w:left="540" w:hanging="269"/>
      </w:pPr>
      <w:r>
        <w:t>Terapkan filter</w:t>
      </w:r>
    </w:p>
    <w:p>
      <w:pPr>
        <w:pStyle w:val="ListNumber"/>
        <w:ind w:left="540" w:hanging="269"/>
      </w:pPr>
      <w:r>
        <w:t>Tampilkan agregat</w:t>
      </w:r>
    </w:p>
    <w:p>
      <w:pPr>
        <w:pStyle w:val="ListNumber"/>
        <w:ind w:left="540" w:hanging="269"/>
      </w:pPr>
      <w:r>
        <w:t>Drill-down dokumen</w:t>
      </w:r>
    </w:p>
    <w:p>
      <w:pPr>
        <w:pStyle w:val="ListNumber"/>
        <w:ind w:left="540" w:hanging="269"/>
      </w:pPr>
      <w:r>
        <w:t>Ekspor/rekonsiliasi</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300 transaksi muncul pada periode yang tepat dan totalnya cocok dengan detail; 100 rantai pengadaan dapat ditelusuri; agregat layar, ekspor, dan dokumen sumber mempunyai nilai yang sama</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9. Laporan Keuangan</w:t>
      </w:r>
    </w:p>
    <w:p>
      <w:pPr>
        <w:jc w:val="center"/>
      </w:pPr>
      <w:r>
        <w:drawing>
          <wp:inline xmlns:a="http://schemas.openxmlformats.org/drawingml/2006/main" xmlns:pic="http://schemas.openxmlformats.org/drawingml/2006/picture">
            <wp:extent cx="5897880" cy="3317558"/>
            <wp:docPr id="33" name="Picture 33"/>
            <wp:cNvGraphicFramePr>
              <a:graphicFrameLocks noChangeAspect="1"/>
            </wp:cNvGraphicFramePr>
            <a:graphic>
              <a:graphicData uri="http://schemas.openxmlformats.org/drawingml/2006/picture">
                <pic:pic>
                  <pic:nvPicPr>
                    <pic:cNvPr id="0" name="24-laporan-laba-rugi.png"/>
                    <pic:cNvPicPr/>
                  </pic:nvPicPr>
                  <pic:blipFill>
                    <a:blip r:embed="rId43"/>
                    <a:stretch>
                      <a:fillRect/>
                    </a:stretch>
                  </pic:blipFill>
                  <pic:spPr>
                    <a:xfrm>
                      <a:off x="0" y="0"/>
                      <a:ext cx="5897880" cy="3317558"/>
                    </a:xfrm>
                    <a:prstGeom prst="rect"/>
                  </pic:spPr>
                </pic:pic>
              </a:graphicData>
            </a:graphic>
          </wp:inline>
        </w:drawing>
      </w:r>
    </w:p>
    <w:p>
      <w:pPr>
        <w:pStyle w:val="Caption"/>
        <w:jc w:val="center"/>
      </w:pPr>
      <w:r>
        <w:t>Bukti 9. Laporan Laba Rugi berbasis jurnal pada server demo.</w:t>
      </w:r>
    </w:p>
    <w:p>
      <w:pPr>
        <w:pStyle w:val="Heading2"/>
      </w:pPr>
      <w:r>
        <w:t>Narasi UAT dan petunjuk penggunaan</w:t>
      </w:r>
    </w:p>
    <w:p>
      <w:r>
        <w:t>Bukti layar untuk Laporan Keuangan dipakai sebagai titik masuk pemeriksaan UAT sekaligus panduan kerja operator. Tujuan pengujian bukan hanya memastikan halaman dapat terbuka, melainkan memastikan rangkaian keputusan, data, otorisasi, dan jejak audit tetap konsisten dari awal sampai akhir. Aktor yang terlibat adalah Akuntan, Manajemen, Auditor, Owner COA. Sebelum memulai, penguji memastikan varian yang tampil adalah POS Apotik, koneksi HTTPS menuju server demo aktif, pengguna berhasil login dengan role yang sesuai, tanggal dan waktu perangkat benar, serta data uji mempunyai penanda rilis agar dapat dibedakan dari transaksi lain pada tenant bersama. Screenshot diambil pada resolusi 1600 × 900 setelah indikator pemuatan selesai. Karena server demo dipakai bersama, jumlah total yang tampak pada dashboard dapat melebihi volume yang dibuat dalam run ini; hasil kelulusan karena itu dihitung dari kode idempoten dan ringkasan API, bukan dari perkiraan visual semata.</w:t>
      </w:r>
    </w:p>
    <w:p>
      <w:r>
        <w:t>Cara penggunaan normal mengikuti urutan: Posting jurnal; Buku besar; Neraca saldo; Laporan utama; Bandingkan periode; Review &amp; sign-off. Operator membaca seluruh label dan nilai sebelum menekan tindakan simpan atau setujui. Kolom wajib tidak boleh diisi dengan nilai acak hanya untuk melewati validasi. Untuk nominal, kuantitas, batch, tanggal, vendor, pasien, dan akun, penguji mencocokkan kembali sumbernya dengan dokumen atau skenario. Setelah penyimpanan, operator menunggu notifikasi sukses, kemudian membuka ulang daftar dan mencari kode uji yang sama. Langkah baca ulang ini penting untuk membuktikan persistensi, bukan sekadar perubahan state sementara pada layar. Jika tombol tidak aktif, aplikasi menampilkan pesan gagal, atau indikator terus berputar, penguji mencatat waktu, menu, kode dokumen, payload relevan tanpa kredensial, dan screenshot. Penguji tidak mengulang simpan dengan kode baru sebelum memastikan apakah permintaan pertama sebenarnya sudah diterima server, karena tindakan tersebut dapat menggandakan transaksi.</w:t>
      </w:r>
    </w:p>
    <w:p>
      <w:r>
        <w:t>Data yang diamati dalam skenario ini membentuk aliran konseptual antara AKUN</w:t>
        <w:br/>
        <w:t>kode, grup, DETAIL POSTED</w:t>
        <w:br/>
        <w:t>D/K, BUKU BESAR</w:t>
        <w:br/>
        <w:t>saldo, TRIAL BALANCE</w:t>
        <w:br/>
        <w:t>D/K, LAPORAN</w:t>
        <w:br/>
        <w:t>LR/neraca/arus kas. Hubungan antardata dijaga melalui identitas dokumen, referensi transaksi sumber, detail barang atau akun, dan status proses. Kunci idempoten pada run volume mencegah penciptaan ulang ketika tes diulang setelah gangguan jaringan. Untuk data persediaan, kuantitas tidak boleh hanya dicatat di header; detail batch, tanggal kedaluwarsa, dan sisa stok harus dapat ditelusuri. Untuk data keuangan, jurnal harus membawa referensi dokumen sumber dan pasangan debit-kredit yang seimbang. Untuk data pasien, layar petugas boleh menampilkan informasi operasional yang diperlukan, sedangkan layar publik wajib menggunakan identitas tersamar. Penguji juga memperhatikan bahwa keberhasilan respons HTTP atau status “success” belum selalu membuktikan angka laporan benar; rekonsiliasi nilai terhadap dokumen sumber tetap menjadi acceptance test terpisah.</w:t>
      </w:r>
    </w:p>
    <w:p>
      <w:r>
        <w:t>Hasil aktual pada server demo untuk skenario ini adalah: enam halaman inti—Laba Rugi, Neraca, Arus Kas, Keseluruhan Jurnal, Buku Besar, dan Neraca Saldo—berhasil dibuka dan dirender. Beberapa hasil belum mempunyai data yang dapat direkonsiliasi; Saldo Awal dan Jurnal Penyesuaian menampilkan masalah parsing respons, sedangkan katalog menyediakan laporan perbandingan namun belum diuji angka bulan/tahun. Status formalnya PASS render / BLOCKED rekonsiliasi angka dan beberapa backend. Arti status tersebut harus dibaca secara presisi. PASS berarti operasi yang dinyatakan berhasil benar-benar disimpan atau dirender dan diverifikasi dengan pemeriksaan lanjutan. PASS TAMPILAN hanya berarti komponen dapat digunakan dan difoto, bukan bahwa seluruh endpoint produksi sudah tersedia. BLOCKED berarti prasyarat backend, konfigurasi, atau data master belum mencukupi; blocker tidak boleh disamarkan sebagai kegagalan operator dan juga tidak boleh dianggap lulus. LULUS BERSYARAT berarti jalur utama dapat dipakai untuk UAT atau pilot yang dikendalikan, dengan risiko dan pekerjaan retest yang tercantum. Pemisahan ini menjaga dokumen tetap dapat diaudit dan membantu pemilik proses memutuskan apakah sebuah temuan menahan produksi atau cukup ditangani sebelum go-live.</w:t>
      </w:r>
    </w:p>
    <w:p>
      <w:r>
        <w:t>Kontrol utama untuk Laporan Keuangan adalah klasifikasi akun, saldo awal, cut-off, posting, closing, retained earnings, arus kas, dimensi unit, perbandingan bulanan/tahunan, dan audit trail. Penguji melakukan negative check dengan mempertimbangkan data kosong, hak akses tidak memadai, dokumen sudah diproses, batch tidak layak, ketidakseimbangan jurnal, duplikasi kode, dan putus jaringan. Sistem harus menolak atau membatasi tindakan yang tidak sah tanpa menghapus data yang telah benar. Setelah setiap perubahan status, petugas yang berbeda—bila segregasi tugas diwajibkan—membuka data dari sesinya sendiri dan mengonfirmasi hasil. Bukti ideal terdiri dari screenshot sebelum tindakan, respons sesudah tindakan, daftar hasil, dan ringkasan mesin. Dokumen ini menampilkan satu screenshot representatif per kelompok skenario agar setiap gambar dapat diberi narasi dan diagram lengkap; berkas screenshot lain tetap tersedia di folder bukti dalam repository untuk investigasi teknis, namun tidak ditampilkan di badan dokumen agar tidak menimbulkan interpretasi bahwa semua gambar memiliki status integrasi yang sama.</w:t>
      </w:r>
    </w:p>
    <w:p>
      <w:r>
        <w:t>Bila terjadi penyimpangan, operator menjalankan prosedur berikut. Pertama, hentikan tindakan lanjutan yang dapat mengubah stok atau keuangan. Kedua, catat kode dokumen, waktu, role, dan pesan kesalahan. Ketiga, muat ulang daftar serta cari kode idempoten yang sama untuk menentukan apakah server sudah menyimpan transaksi. Keempat, bandingkan detail dengan dokumen sumber dan jangan membuat pengganti sebelum status transaksi pertama pasti. Kelima, eskalasikan ke pemilik modul dengan klasifikasi: data master, RBAC, validasi bisnis, integrasi API, tampilan, atau akuntansi. Jika penyimpangan menyentuh pasien, obat, batch, atau kedaluwarsa, apoteker mengambil keputusan keselamatan dan menahan penyerahan bila perlu. Jika menyentuh vendor, tagihan, pembayaran, atau jurnal, keuangan menahan pembayaran/posting dan akuntansi melakukan rekonsiliasi. Seluruh koreksi harus menghasilkan jejak audit baru, bukan menghapus diam-diam riwayat lama.</w:t>
      </w:r>
    </w:p>
    <w:p>
      <w:r>
        <w:t>Kriteria penerimaan akhir untuk skenario ini adalah: buku besar, trial balance, Laba Rugi, Neraca, dan Arus Kas seimbang serta cocok dengan 100 jurnal vendor dan transaksi sumber; perbandingan bulanan/tahunan dapat direproduksi dan disetujui owner Akuntansi. Setelah kriteria terpenuhi, penguji memberi tanda pada matriks, mencatat bukti, dan meminta sign-off pemilik proses. Untuk penggunaan harian, supervisor sebaiknya menjalankan pemeriksaan awal shift terhadap koneksi, toko aktif, perangkat periferal, role, dan sinkronisasi; pemeriksaan selama shift terhadap transaksi tertahan, stok negatif, batch mendekati kedaluwarsa, antrean, dan dokumen gagal; serta pemeriksaan akhir shift terhadap kas, stok kritis, dokumen pengadaan, pembayaran, jurnal, dan laporan. Pola ini membuat aplikasi berfungsi sebagai sistem pengendalian, bukan hanya alat input. Pada rilis 1.34.23 (build 185), kesimpulan PASS render / BLOCKED rekonsiliasi angka dan beberapa backend berlaku untuk lingkungan yang diuji dan tidak otomatis membuktikan kompatibilitas setiap tenant, printer, monitor, kebijakan COA, atau keystore. Retest produksi wajib memakai konfigurasi tujuan dan persetujuan owner.</w:t>
      </w:r>
    </w:p>
    <w:tbl>
      <w:tblPr>
        <w:tblStyle w:val="TableGrid"/>
        <w:tblW w:type="auto" w:w="0"/>
        <w:tblLook w:firstColumn="1" w:firstRow="1" w:lastColumn="0" w:lastRow="0" w:noHBand="0" w:noVBand="1" w:val="04A0"/>
      </w:tblPr>
      <w:tblGrid>
        <w:gridCol w:w="9360"/>
      </w:tblGrid>
      <w:tr>
        <w:tc>
          <w:tcPr>
            <w:tcW w:type="dxa" w:w="9360"/>
            <w:shd w:fill="EAF3F8"/>
          </w:tcPr>
          <w:p>
            <w:r>
              <w:rPr>
                <w:b/>
                <w:color w:val="15803D"/>
              </w:rPr>
              <w:t xml:space="preserve">Kelengkapan narasi: </w:t>
            </w:r>
            <w:r>
              <w:t>996 kata untuk screenshot ini; batas minimum yang diminta adalah 500 kata.</w:t>
            </w:r>
          </w:p>
        </w:tc>
      </w:tr>
    </w:tbl>
    <w:p>
      <w:pPr>
        <w:spacing w:after="0"/>
      </w:pPr>
    </w:p>
    <w:p>
      <w:pPr>
        <w:pStyle w:val="Heading2"/>
      </w:pPr>
      <w:r>
        <w:t>Use case</w:t>
      </w:r>
    </w:p>
    <w:p>
      <w:pPr>
        <w:jc w:val="center"/>
      </w:pPr>
      <w:r>
        <w:drawing>
          <wp:inline xmlns:a="http://schemas.openxmlformats.org/drawingml/2006/main" xmlns:pic="http://schemas.openxmlformats.org/drawingml/2006/picture">
            <wp:extent cx="5897880" cy="3317558"/>
            <wp:docPr id="34" name="Picture 34"/>
            <wp:cNvGraphicFramePr>
              <a:graphicFrameLocks noChangeAspect="1"/>
            </wp:cNvGraphicFramePr>
            <a:graphic>
              <a:graphicData uri="http://schemas.openxmlformats.org/drawingml/2006/picture">
                <pic:pic>
                  <pic:nvPicPr>
                    <pic:cNvPr id="0" name="09-use-case.png"/>
                    <pic:cNvPicPr/>
                  </pic:nvPicPr>
                  <pic:blipFill>
                    <a:blip r:embed="rId44"/>
                    <a:stretch>
                      <a:fillRect/>
                    </a:stretch>
                  </pic:blipFill>
                  <pic:spPr>
                    <a:xfrm>
                      <a:off x="0" y="0"/>
                      <a:ext cx="5897880" cy="3317558"/>
                    </a:xfrm>
                    <a:prstGeom prst="rect"/>
                  </pic:spPr>
                </pic:pic>
              </a:graphicData>
            </a:graphic>
          </wp:inline>
        </w:drawing>
      </w:r>
    </w:p>
    <w:p>
      <w:pPr>
        <w:pStyle w:val="Caption"/>
        <w:jc w:val="center"/>
      </w:pPr>
      <w:r>
        <w:t>Diagram 9.A — use case Laporan Keuangan</w:t>
      </w:r>
    </w:p>
    <w:p>
      <w:pPr>
        <w:pStyle w:val="Heading2"/>
      </w:pPr>
      <w:r>
        <w:t>Flowchart</w:t>
      </w:r>
    </w:p>
    <w:p>
      <w:pPr>
        <w:jc w:val="center"/>
      </w:pPr>
      <w:r>
        <w:drawing>
          <wp:inline xmlns:a="http://schemas.openxmlformats.org/drawingml/2006/main" xmlns:pic="http://schemas.openxmlformats.org/drawingml/2006/picture">
            <wp:extent cx="5897880" cy="3317558"/>
            <wp:docPr id="35" name="Picture 35"/>
            <wp:cNvGraphicFramePr>
              <a:graphicFrameLocks noChangeAspect="1"/>
            </wp:cNvGraphicFramePr>
            <a:graphic>
              <a:graphicData uri="http://schemas.openxmlformats.org/drawingml/2006/picture">
                <pic:pic>
                  <pic:nvPicPr>
                    <pic:cNvPr id="0" name="09-flowchart.png"/>
                    <pic:cNvPicPr/>
                  </pic:nvPicPr>
                  <pic:blipFill>
                    <a:blip r:embed="rId45"/>
                    <a:stretch>
                      <a:fillRect/>
                    </a:stretch>
                  </pic:blipFill>
                  <pic:spPr>
                    <a:xfrm>
                      <a:off x="0" y="0"/>
                      <a:ext cx="5897880" cy="3317558"/>
                    </a:xfrm>
                    <a:prstGeom prst="rect"/>
                  </pic:spPr>
                </pic:pic>
              </a:graphicData>
            </a:graphic>
          </wp:inline>
        </w:drawing>
      </w:r>
    </w:p>
    <w:p>
      <w:pPr>
        <w:pStyle w:val="Caption"/>
        <w:jc w:val="center"/>
      </w:pPr>
      <w:r>
        <w:t>Diagram 9.B — alur kerja Laporan Keuangan</w:t>
      </w:r>
    </w:p>
    <w:p>
      <w:pPr>
        <w:pStyle w:val="Heading2"/>
      </w:pPr>
      <w:r>
        <w:t>ERD dan aliran data</w:t>
      </w:r>
    </w:p>
    <w:p>
      <w:pPr>
        <w:jc w:val="center"/>
      </w:pPr>
      <w:r>
        <w:drawing>
          <wp:inline xmlns:a="http://schemas.openxmlformats.org/drawingml/2006/main" xmlns:pic="http://schemas.openxmlformats.org/drawingml/2006/picture">
            <wp:extent cx="5897880" cy="3317558"/>
            <wp:docPr id="36" name="Picture 36"/>
            <wp:cNvGraphicFramePr>
              <a:graphicFrameLocks noChangeAspect="1"/>
            </wp:cNvGraphicFramePr>
            <a:graphic>
              <a:graphicData uri="http://schemas.openxmlformats.org/drawingml/2006/picture">
                <pic:pic>
                  <pic:nvPicPr>
                    <pic:cNvPr id="0" name="09-erd-dataflow.png"/>
                    <pic:cNvPicPr/>
                  </pic:nvPicPr>
                  <pic:blipFill>
                    <a:blip r:embed="rId46"/>
                    <a:stretch>
                      <a:fillRect/>
                    </a:stretch>
                  </pic:blipFill>
                  <pic:spPr>
                    <a:xfrm>
                      <a:off x="0" y="0"/>
                      <a:ext cx="5897880" cy="3317558"/>
                    </a:xfrm>
                    <a:prstGeom prst="rect"/>
                  </pic:spPr>
                </pic:pic>
              </a:graphicData>
            </a:graphic>
          </wp:inline>
        </w:drawing>
      </w:r>
    </w:p>
    <w:p>
      <w:pPr>
        <w:pStyle w:val="Caption"/>
        <w:jc w:val="center"/>
      </w:pPr>
      <w:r>
        <w:t>Diagram 9.C — model konseptual dan aliran data Laporan Keuangan</w:t>
      </w:r>
    </w:p>
    <w:p>
      <w:pPr>
        <w:pStyle w:val="Heading2"/>
      </w:pPr>
      <w:r>
        <w:t>Checklist operator dan acceptance</w:t>
      </w:r>
    </w:p>
    <w:p>
      <w:pPr>
        <w:pStyle w:val="ListNumber"/>
        <w:ind w:left="540" w:hanging="269"/>
      </w:pPr>
      <w:r>
        <w:t>Posting jurnal</w:t>
      </w:r>
    </w:p>
    <w:p>
      <w:pPr>
        <w:pStyle w:val="ListNumber"/>
        <w:ind w:left="540" w:hanging="269"/>
      </w:pPr>
      <w:r>
        <w:t>Buku besar</w:t>
      </w:r>
    </w:p>
    <w:p>
      <w:pPr>
        <w:pStyle w:val="ListNumber"/>
        <w:ind w:left="540" w:hanging="269"/>
      </w:pPr>
      <w:r>
        <w:t>Neraca saldo</w:t>
      </w:r>
    </w:p>
    <w:p>
      <w:pPr>
        <w:pStyle w:val="ListNumber"/>
        <w:ind w:left="540" w:hanging="269"/>
      </w:pPr>
      <w:r>
        <w:t>Laporan utama</w:t>
      </w:r>
    </w:p>
    <w:p>
      <w:pPr>
        <w:pStyle w:val="ListNumber"/>
        <w:ind w:left="540" w:hanging="269"/>
      </w:pPr>
      <w:r>
        <w:t>Bandingkan periode</w:t>
      </w:r>
    </w:p>
    <w:p>
      <w:pPr>
        <w:pStyle w:val="ListNumber"/>
        <w:ind w:left="540" w:hanging="269"/>
      </w:pPr>
      <w:r>
        <w:t>Review &amp; sign-off</w:t>
      </w:r>
    </w:p>
    <w:tbl>
      <w:tblPr>
        <w:tblStyle w:val="TableGrid"/>
        <w:tblW w:type="auto" w:w="0"/>
        <w:tblLayout w:type="fixed"/>
        <w:tblLook w:firstColumn="1" w:firstRow="1" w:lastColumn="0" w:lastRow="0" w:noHBand="0" w:noVBand="1" w:val="04A0"/>
      </w:tblPr>
      <w:tblGrid>
        <w:gridCol w:w="3120"/>
        <w:gridCol w:w="3120"/>
        <w:gridCol w:w="3120"/>
      </w:tblGrid>
      <w:tr>
        <w:trPr>
          <w:tblHeader w:val="true"/>
        </w:trPr>
        <w:tc>
          <w:tcPr>
            <w:tcW w:type="dxa" w:w="1656"/>
            <w:vAlign w:val="center"/>
            <w:shd w:fill="075985"/>
          </w:tcPr>
          <w:p>
            <w:pPr>
              <w:spacing w:after="0"/>
            </w:pPr>
            <w:r/>
            <w:r>
              <w:rPr>
                <w:rFonts w:ascii="Calibri" w:hAnsi="Calibri"/>
                <w:b/>
                <w:color w:val="FFFFFF"/>
                <w:sz w:val="18"/>
              </w:rPr>
              <w:t>Kontrol</w:t>
            </w:r>
          </w:p>
        </w:tc>
        <w:tc>
          <w:tcPr>
            <w:tcW w:type="dxa" w:w="4680"/>
            <w:vAlign w:val="center"/>
            <w:shd w:fill="075985"/>
          </w:tcPr>
          <w:p>
            <w:pPr>
              <w:spacing w:after="0"/>
            </w:pPr>
            <w:r/>
            <w:r>
              <w:rPr>
                <w:rFonts w:ascii="Calibri" w:hAnsi="Calibri"/>
                <w:b/>
                <w:color w:val="FFFFFF"/>
                <w:sz w:val="18"/>
              </w:rPr>
              <w:t>Bukti yang harus ada</w:t>
            </w:r>
          </w:p>
        </w:tc>
        <w:tc>
          <w:tcPr>
            <w:tcW w:type="dxa" w:w="2880"/>
            <w:vAlign w:val="center"/>
            <w:shd w:fill="075985"/>
          </w:tcPr>
          <w:p>
            <w:pPr>
              <w:spacing w:after="0"/>
            </w:pPr>
            <w:r/>
            <w:r>
              <w:rPr>
                <w:rFonts w:ascii="Calibri" w:hAnsi="Calibri"/>
                <w:b/>
                <w:color w:val="FFFFFF"/>
                <w:sz w:val="18"/>
              </w:rPr>
              <w:t>Keputusan saat gagal</w:t>
            </w:r>
          </w:p>
        </w:tc>
      </w:tr>
      <w:tr>
        <w:tc>
          <w:tcPr>
            <w:tcW w:type="dxa" w:w="1656"/>
            <w:vAlign w:val="center"/>
          </w:tcPr>
          <w:p>
            <w:pPr>
              <w:spacing w:after="0"/>
            </w:pPr>
            <w:r/>
            <w:r>
              <w:rPr>
                <w:rFonts w:ascii="Calibri" w:hAnsi="Calibri"/>
                <w:b w:val="0"/>
                <w:color w:val="172033"/>
                <w:sz w:val="17"/>
              </w:rPr>
              <w:t>Otorisasi</w:t>
            </w:r>
          </w:p>
        </w:tc>
        <w:tc>
          <w:tcPr>
            <w:tcW w:type="dxa" w:w="4680"/>
            <w:vAlign w:val="center"/>
          </w:tcPr>
          <w:p>
            <w:pPr>
              <w:spacing w:after="0"/>
            </w:pPr>
            <w:r/>
            <w:r>
              <w:rPr>
                <w:rFonts w:ascii="Calibri" w:hAnsi="Calibri"/>
                <w:b w:val="0"/>
                <w:color w:val="172033"/>
                <w:sz w:val="17"/>
              </w:rPr>
              <w:t>Role/menu dan approval</w:t>
            </w:r>
          </w:p>
        </w:tc>
        <w:tc>
          <w:tcPr>
            <w:tcW w:type="dxa" w:w="2880"/>
            <w:vAlign w:val="center"/>
          </w:tcPr>
          <w:p>
            <w:pPr>
              <w:spacing w:after="0"/>
            </w:pPr>
            <w:r/>
            <w:r>
              <w:rPr>
                <w:rFonts w:ascii="Calibri" w:hAnsi="Calibri"/>
                <w:b w:val="0"/>
                <w:color w:val="172033"/>
                <w:sz w:val="17"/>
              </w:rPr>
              <w:t>Hentikan; perbaiki RBAC</w:t>
            </w:r>
          </w:p>
        </w:tc>
      </w:tr>
      <w:tr>
        <w:tc>
          <w:tcPr>
            <w:tcW w:type="dxa" w:w="1656"/>
            <w:vAlign w:val="center"/>
            <w:shd w:fill="F8FAFC"/>
          </w:tcPr>
          <w:p>
            <w:pPr>
              <w:spacing w:after="0"/>
            </w:pPr>
            <w:r/>
            <w:r>
              <w:rPr>
                <w:rFonts w:ascii="Calibri" w:hAnsi="Calibri"/>
                <w:b w:val="0"/>
                <w:color w:val="172033"/>
                <w:sz w:val="17"/>
              </w:rPr>
              <w:t>Integritas data</w:t>
            </w:r>
          </w:p>
        </w:tc>
        <w:tc>
          <w:tcPr>
            <w:tcW w:type="dxa" w:w="4680"/>
            <w:vAlign w:val="center"/>
            <w:shd w:fill="F8FAFC"/>
          </w:tcPr>
          <w:p>
            <w:pPr>
              <w:spacing w:after="0"/>
            </w:pPr>
            <w:r/>
            <w:r>
              <w:rPr>
                <w:rFonts w:ascii="Calibri" w:hAnsi="Calibri"/>
                <w:b w:val="0"/>
                <w:color w:val="172033"/>
                <w:sz w:val="17"/>
              </w:rPr>
              <w:t>Kode, referensi, detail, status</w:t>
            </w:r>
          </w:p>
        </w:tc>
        <w:tc>
          <w:tcPr>
            <w:tcW w:type="dxa" w:w="2880"/>
            <w:vAlign w:val="center"/>
            <w:shd w:fill="F8FAFC"/>
          </w:tcPr>
          <w:p>
            <w:pPr>
              <w:spacing w:after="0"/>
            </w:pPr>
            <w:r/>
            <w:r>
              <w:rPr>
                <w:rFonts w:ascii="Calibri" w:hAnsi="Calibri"/>
                <w:b w:val="0"/>
                <w:color w:val="172033"/>
                <w:sz w:val="17"/>
              </w:rPr>
              <w:t>Cari kode idempoten; jangan duplikasi</w:t>
            </w:r>
          </w:p>
        </w:tc>
      </w:tr>
      <w:tr>
        <w:tc>
          <w:tcPr>
            <w:tcW w:type="dxa" w:w="1656"/>
            <w:vAlign w:val="center"/>
          </w:tcPr>
          <w:p>
            <w:pPr>
              <w:spacing w:after="0"/>
            </w:pPr>
            <w:r/>
            <w:r>
              <w:rPr>
                <w:rFonts w:ascii="Calibri" w:hAnsi="Calibri"/>
                <w:b w:val="0"/>
                <w:color w:val="172033"/>
                <w:sz w:val="17"/>
              </w:rPr>
              <w:t>Rekonsiliasi</w:t>
            </w:r>
          </w:p>
        </w:tc>
        <w:tc>
          <w:tcPr>
            <w:tcW w:type="dxa" w:w="4680"/>
            <w:vAlign w:val="center"/>
          </w:tcPr>
          <w:p>
            <w:pPr>
              <w:spacing w:after="0"/>
            </w:pPr>
            <w:r/>
            <w:r>
              <w:rPr>
                <w:rFonts w:ascii="Calibri" w:hAnsi="Calibri"/>
                <w:b w:val="0"/>
                <w:color w:val="172033"/>
                <w:sz w:val="17"/>
              </w:rPr>
              <w:t>buku besar, trial balance, Laba Rugi, Neraca, dan Arus Kas seimbang serta cocok dengan 100 jurnal vendor dan transaksi sumber; perbandingan bulanan/tahunan dapat direproduksi dan disetujui owner Akuntansi</w:t>
            </w:r>
          </w:p>
        </w:tc>
        <w:tc>
          <w:tcPr>
            <w:tcW w:type="dxa" w:w="2880"/>
            <w:vAlign w:val="center"/>
          </w:tcPr>
          <w:p>
            <w:pPr>
              <w:spacing w:after="0"/>
            </w:pPr>
            <w:r/>
            <w:r>
              <w:rPr>
                <w:rFonts w:ascii="Calibri" w:hAnsi="Calibri"/>
                <w:b w:val="0"/>
                <w:color w:val="172033"/>
                <w:sz w:val="17"/>
              </w:rPr>
              <w:t>Tahan sign-off dan buat retest</w:t>
            </w:r>
          </w:p>
        </w:tc>
      </w:tr>
    </w:tbl>
    <w:p>
      <w:r>
        <w:br w:type="page"/>
      </w:r>
    </w:p>
    <w:p>
      <w:pPr>
        <w:pStyle w:val="Heading1"/>
      </w:pPr>
      <w:r>
        <w:t>Temuan, risiko, dan retest wajib</w:t>
      </w:r>
    </w:p>
    <w:tbl>
      <w:tblPr>
        <w:tblStyle w:val="TableGrid"/>
        <w:tblW w:type="auto" w:w="0"/>
        <w:tblLayout w:type="fixed"/>
        <w:tblLook w:firstColumn="1" w:firstRow="1" w:lastColumn="0" w:lastRow="0" w:noHBand="0" w:noVBand="1" w:val="04A0"/>
      </w:tblPr>
      <w:tblGrid>
        <w:gridCol w:w="1872"/>
        <w:gridCol w:w="1872"/>
        <w:gridCol w:w="1872"/>
        <w:gridCol w:w="1872"/>
        <w:gridCol w:w="1872"/>
      </w:tblGrid>
      <w:tr>
        <w:trPr>
          <w:tblHeader w:val="true"/>
        </w:trPr>
        <w:tc>
          <w:tcPr>
            <w:tcW w:type="dxa" w:w="864"/>
            <w:vAlign w:val="center"/>
            <w:shd w:fill="075985"/>
          </w:tcPr>
          <w:p>
            <w:pPr>
              <w:spacing w:after="0"/>
            </w:pPr>
            <w:r/>
            <w:r>
              <w:rPr>
                <w:rFonts w:ascii="Calibri" w:hAnsi="Calibri"/>
                <w:b/>
                <w:color w:val="FFFFFF"/>
                <w:sz w:val="18"/>
              </w:rPr>
              <w:t>ID</w:t>
            </w:r>
          </w:p>
        </w:tc>
        <w:tc>
          <w:tcPr>
            <w:tcW w:type="dxa" w:w="2376"/>
            <w:vAlign w:val="center"/>
            <w:shd w:fill="075985"/>
          </w:tcPr>
          <w:p>
            <w:pPr>
              <w:spacing w:after="0"/>
            </w:pPr>
            <w:r/>
            <w:r>
              <w:rPr>
                <w:rFonts w:ascii="Calibri" w:hAnsi="Calibri"/>
                <w:b/>
                <w:color w:val="FFFFFF"/>
                <w:sz w:val="18"/>
              </w:rPr>
              <w:t>Temuan</w:t>
            </w:r>
          </w:p>
        </w:tc>
        <w:tc>
          <w:tcPr>
            <w:tcW w:type="dxa" w:w="2232"/>
            <w:vAlign w:val="center"/>
            <w:shd w:fill="075985"/>
          </w:tcPr>
          <w:p>
            <w:pPr>
              <w:spacing w:after="0"/>
            </w:pPr>
            <w:r/>
            <w:r>
              <w:rPr>
                <w:rFonts w:ascii="Calibri" w:hAnsi="Calibri"/>
                <w:b/>
                <w:color w:val="FFFFFF"/>
                <w:sz w:val="18"/>
              </w:rPr>
              <w:t>Dampak</w:t>
            </w:r>
          </w:p>
        </w:tc>
        <w:tc>
          <w:tcPr>
            <w:tcW w:type="dxa" w:w="3240"/>
            <w:vAlign w:val="center"/>
            <w:shd w:fill="075985"/>
          </w:tcPr>
          <w:p>
            <w:pPr>
              <w:spacing w:after="0"/>
            </w:pPr>
            <w:r/>
            <w:r>
              <w:rPr>
                <w:rFonts w:ascii="Calibri" w:hAnsi="Calibri"/>
                <w:b/>
                <w:color w:val="FFFFFF"/>
                <w:sz w:val="18"/>
              </w:rPr>
              <w:t>Retest / exit criterion</w:t>
            </w:r>
          </w:p>
        </w:tc>
        <w:tc>
          <w:tcPr>
            <w:tcW w:type="dxa" w:w="1152"/>
            <w:vAlign w:val="center"/>
            <w:shd w:fill="075985"/>
          </w:tcPr>
          <w:p>
            <w:pPr>
              <w:spacing w:after="0"/>
            </w:pPr>
            <w:r/>
            <w:r>
              <w:rPr>
                <w:rFonts w:ascii="Calibri" w:hAnsi="Calibri"/>
                <w:b/>
                <w:color w:val="FFFFFF"/>
                <w:sz w:val="18"/>
              </w:rPr>
              <w:t>Prioritas</w:t>
            </w:r>
          </w:p>
        </w:tc>
      </w:tr>
      <w:tr>
        <w:tc>
          <w:tcPr>
            <w:tcW w:type="dxa" w:w="864"/>
            <w:vAlign w:val="center"/>
          </w:tcPr>
          <w:p>
            <w:pPr>
              <w:spacing w:after="0"/>
            </w:pPr>
            <w:r/>
            <w:r>
              <w:rPr>
                <w:rFonts w:ascii="Calibri" w:hAnsi="Calibri"/>
                <w:b w:val="0"/>
                <w:color w:val="172033"/>
                <w:sz w:val="17"/>
              </w:rPr>
              <w:t>APT-01</w:t>
            </w:r>
          </w:p>
        </w:tc>
        <w:tc>
          <w:tcPr>
            <w:tcW w:type="dxa" w:w="2376"/>
            <w:vAlign w:val="center"/>
          </w:tcPr>
          <w:p>
            <w:pPr>
              <w:spacing w:after="0"/>
            </w:pPr>
            <w:r/>
            <w:r>
              <w:rPr>
                <w:rFonts w:ascii="Calibri" w:hAnsi="Calibri"/>
                <w:b w:val="0"/>
                <w:color w:val="172033"/>
                <w:sz w:val="17"/>
              </w:rPr>
              <w:t>Katalog hanya 2 item</w:t>
            </w:r>
          </w:p>
        </w:tc>
        <w:tc>
          <w:tcPr>
            <w:tcW w:type="dxa" w:w="2232"/>
            <w:vAlign w:val="center"/>
          </w:tcPr>
          <w:p>
            <w:pPr>
              <w:spacing w:after="0"/>
            </w:pPr>
            <w:r/>
            <w:r>
              <w:rPr>
                <w:rFonts w:ascii="Calibri" w:hAnsi="Calibri"/>
                <w:b w:val="0"/>
                <w:color w:val="172033"/>
                <w:sz w:val="17"/>
              </w:rPr>
              <w:t>Cakupan kategori/stok belum representatif</w:t>
            </w:r>
          </w:p>
        </w:tc>
        <w:tc>
          <w:tcPr>
            <w:tcW w:type="dxa" w:w="3240"/>
            <w:vAlign w:val="center"/>
          </w:tcPr>
          <w:p>
            <w:pPr>
              <w:spacing w:after="0"/>
            </w:pPr>
            <w:r/>
            <w:r>
              <w:rPr>
                <w:rFonts w:ascii="Calibri" w:hAnsi="Calibri"/>
                <w:b w:val="0"/>
                <w:color w:val="172033"/>
                <w:sz w:val="17"/>
              </w:rPr>
              <w:t>Deploy seed dan buktikan ≥100 item lintas kategori</w:t>
            </w:r>
          </w:p>
        </w:tc>
        <w:tc>
          <w:tcPr>
            <w:tcW w:type="dxa" w:w="1152"/>
            <w:vAlign w:val="center"/>
          </w:tcPr>
          <w:p>
            <w:pPr>
              <w:spacing w:after="0"/>
            </w:pPr>
            <w:r/>
            <w:r>
              <w:rPr>
                <w:rFonts w:ascii="Calibri" w:hAnsi="Calibri"/>
                <w:b w:val="0"/>
                <w:color w:val="172033"/>
                <w:sz w:val="17"/>
              </w:rPr>
              <w:t>P0 sebelum produksi</w:t>
            </w:r>
          </w:p>
        </w:tc>
      </w:tr>
      <w:tr>
        <w:tc>
          <w:tcPr>
            <w:tcW w:type="dxa" w:w="864"/>
            <w:vAlign w:val="center"/>
            <w:shd w:fill="F8FAFC"/>
          </w:tcPr>
          <w:p>
            <w:pPr>
              <w:spacing w:after="0"/>
            </w:pPr>
            <w:r/>
            <w:r>
              <w:rPr>
                <w:rFonts w:ascii="Calibri" w:hAnsi="Calibri"/>
                <w:b w:val="0"/>
                <w:color w:val="172033"/>
                <w:sz w:val="17"/>
              </w:rPr>
              <w:t>APT-02</w:t>
            </w:r>
          </w:p>
        </w:tc>
        <w:tc>
          <w:tcPr>
            <w:tcW w:type="dxa" w:w="2376"/>
            <w:vAlign w:val="center"/>
            <w:shd w:fill="F8FAFC"/>
          </w:tcPr>
          <w:p>
            <w:pPr>
              <w:spacing w:after="0"/>
            </w:pPr>
            <w:r/>
            <w:r>
              <w:rPr>
                <w:rFonts w:ascii="Calibri" w:hAnsi="Calibri"/>
                <w:b w:val="0"/>
                <w:color w:val="172033"/>
                <w:sz w:val="17"/>
              </w:rPr>
              <w:t>Endpoint antrean farmasi belum tersedia</w:t>
            </w:r>
          </w:p>
        </w:tc>
        <w:tc>
          <w:tcPr>
            <w:tcW w:type="dxa" w:w="2232"/>
            <w:vAlign w:val="center"/>
            <w:shd w:fill="F8FAFC"/>
          </w:tcPr>
          <w:p>
            <w:pPr>
              <w:spacing w:after="0"/>
            </w:pPr>
            <w:r/>
            <w:r>
              <w:rPr>
                <w:rFonts w:ascii="Calibri" w:hAnsi="Calibri"/>
                <w:b w:val="0"/>
                <w:color w:val="172033"/>
                <w:sz w:val="17"/>
              </w:rPr>
              <w:t>Layar publik belum live</w:t>
            </w:r>
          </w:p>
        </w:tc>
        <w:tc>
          <w:tcPr>
            <w:tcW w:type="dxa" w:w="3240"/>
            <w:vAlign w:val="center"/>
            <w:shd w:fill="F8FAFC"/>
          </w:tcPr>
          <w:p>
            <w:pPr>
              <w:spacing w:after="0"/>
            </w:pPr>
            <w:r/>
            <w:r>
              <w:rPr>
                <w:rFonts w:ascii="Calibri" w:hAnsi="Calibri"/>
                <w:b w:val="0"/>
                <w:color w:val="172033"/>
                <w:sz w:val="17"/>
              </w:rPr>
              <w:t>50 antrean live, status berubah, identitas tersamar</w:t>
            </w:r>
          </w:p>
        </w:tc>
        <w:tc>
          <w:tcPr>
            <w:tcW w:type="dxa" w:w="1152"/>
            <w:vAlign w:val="center"/>
            <w:shd w:fill="F8FAFC"/>
          </w:tcPr>
          <w:p>
            <w:pPr>
              <w:spacing w:after="0"/>
            </w:pPr>
            <w:r/>
            <w:r>
              <w:rPr>
                <w:rFonts w:ascii="Calibri" w:hAnsi="Calibri"/>
                <w:b w:val="0"/>
                <w:color w:val="172033"/>
                <w:sz w:val="17"/>
              </w:rPr>
              <w:t>P0 sebelum produksi</w:t>
            </w:r>
          </w:p>
        </w:tc>
      </w:tr>
      <w:tr>
        <w:tc>
          <w:tcPr>
            <w:tcW w:type="dxa" w:w="864"/>
            <w:vAlign w:val="center"/>
          </w:tcPr>
          <w:p>
            <w:pPr>
              <w:spacing w:after="0"/>
            </w:pPr>
            <w:r/>
            <w:r>
              <w:rPr>
                <w:rFonts w:ascii="Calibri" w:hAnsi="Calibri"/>
                <w:b w:val="0"/>
                <w:color w:val="172033"/>
                <w:sz w:val="17"/>
              </w:rPr>
              <w:t>APT-03</w:t>
            </w:r>
          </w:p>
        </w:tc>
        <w:tc>
          <w:tcPr>
            <w:tcW w:type="dxa" w:w="2376"/>
            <w:vAlign w:val="center"/>
          </w:tcPr>
          <w:p>
            <w:pPr>
              <w:spacing w:after="0"/>
            </w:pPr>
            <w:r/>
            <w:r>
              <w:rPr>
                <w:rFonts w:ascii="Calibri" w:hAnsi="Calibri"/>
                <w:b w:val="0"/>
                <w:color w:val="172033"/>
                <w:sz w:val="17"/>
              </w:rPr>
              <w:t>Laporan penjualan success tetapi 0 rows</w:t>
            </w:r>
          </w:p>
        </w:tc>
        <w:tc>
          <w:tcPr>
            <w:tcW w:type="dxa" w:w="2232"/>
            <w:vAlign w:val="center"/>
          </w:tcPr>
          <w:p>
            <w:pPr>
              <w:spacing w:after="0"/>
            </w:pPr>
            <w:r/>
            <w:r>
              <w:rPr>
                <w:rFonts w:ascii="Calibri" w:hAnsi="Calibri"/>
                <w:b w:val="0"/>
                <w:color w:val="172033"/>
                <w:sz w:val="17"/>
              </w:rPr>
              <w:t>Rekonsiliasi pendapatan gagal</w:t>
            </w:r>
          </w:p>
        </w:tc>
        <w:tc>
          <w:tcPr>
            <w:tcW w:type="dxa" w:w="3240"/>
            <w:vAlign w:val="center"/>
          </w:tcPr>
          <w:p>
            <w:pPr>
              <w:spacing w:after="0"/>
            </w:pPr>
            <w:r/>
            <w:r>
              <w:rPr>
                <w:rFonts w:ascii="Calibri" w:hAnsi="Calibri"/>
                <w:b w:val="0"/>
                <w:color w:val="172033"/>
                <w:sz w:val="17"/>
              </w:rPr>
              <w:t>300 transaksi muncul dan total cocok</w:t>
            </w:r>
          </w:p>
        </w:tc>
        <w:tc>
          <w:tcPr>
            <w:tcW w:type="dxa" w:w="1152"/>
            <w:vAlign w:val="center"/>
          </w:tcPr>
          <w:p>
            <w:pPr>
              <w:spacing w:after="0"/>
            </w:pPr>
            <w:r/>
            <w:r>
              <w:rPr>
                <w:rFonts w:ascii="Calibri" w:hAnsi="Calibri"/>
                <w:b w:val="0"/>
                <w:color w:val="172033"/>
                <w:sz w:val="17"/>
              </w:rPr>
              <w:t>P0 sebelum produksi</w:t>
            </w:r>
          </w:p>
        </w:tc>
      </w:tr>
      <w:tr>
        <w:tc>
          <w:tcPr>
            <w:tcW w:type="dxa" w:w="864"/>
            <w:vAlign w:val="center"/>
            <w:shd w:fill="F8FAFC"/>
          </w:tcPr>
          <w:p>
            <w:pPr>
              <w:spacing w:after="0"/>
            </w:pPr>
            <w:r/>
            <w:r>
              <w:rPr>
                <w:rFonts w:ascii="Calibri" w:hAnsi="Calibri"/>
                <w:b w:val="0"/>
                <w:color w:val="172033"/>
                <w:sz w:val="17"/>
              </w:rPr>
              <w:t>APT-04</w:t>
            </w:r>
          </w:p>
        </w:tc>
        <w:tc>
          <w:tcPr>
            <w:tcW w:type="dxa" w:w="2376"/>
            <w:vAlign w:val="center"/>
            <w:shd w:fill="F8FAFC"/>
          </w:tcPr>
          <w:p>
            <w:pPr>
              <w:spacing w:after="0"/>
            </w:pPr>
            <w:r/>
            <w:r>
              <w:rPr>
                <w:rFonts w:ascii="Calibri" w:hAnsi="Calibri"/>
                <w:b w:val="0"/>
                <w:color w:val="172033"/>
                <w:sz w:val="17"/>
              </w:rPr>
              <w:t>Filter daftar pembayaran marker 0</w:t>
            </w:r>
          </w:p>
        </w:tc>
        <w:tc>
          <w:tcPr>
            <w:tcW w:type="dxa" w:w="2232"/>
            <w:vAlign w:val="center"/>
            <w:shd w:fill="F8FAFC"/>
          </w:tcPr>
          <w:p>
            <w:pPr>
              <w:spacing w:after="0"/>
            </w:pPr>
            <w:r/>
            <w:r>
              <w:rPr>
                <w:rFonts w:ascii="Calibri" w:hAnsi="Calibri"/>
                <w:b w:val="0"/>
                <w:color w:val="172033"/>
                <w:sz w:val="17"/>
              </w:rPr>
              <w:t>Pencarian/audit dokumen sulit</w:t>
            </w:r>
          </w:p>
        </w:tc>
        <w:tc>
          <w:tcPr>
            <w:tcW w:type="dxa" w:w="3240"/>
            <w:vAlign w:val="center"/>
            <w:shd w:fill="F8FAFC"/>
          </w:tcPr>
          <w:p>
            <w:pPr>
              <w:spacing w:after="0"/>
            </w:pPr>
            <w:r/>
            <w:r>
              <w:rPr>
                <w:rFonts w:ascii="Calibri" w:hAnsi="Calibri"/>
                <w:b w:val="0"/>
                <w:color w:val="172033"/>
                <w:sz w:val="17"/>
              </w:rPr>
              <w:t>100 pembayaran ditemukan melalui filter yang sama</w:t>
            </w:r>
          </w:p>
        </w:tc>
        <w:tc>
          <w:tcPr>
            <w:tcW w:type="dxa" w:w="1152"/>
            <w:vAlign w:val="center"/>
            <w:shd w:fill="F8FAFC"/>
          </w:tcPr>
          <w:p>
            <w:pPr>
              <w:spacing w:after="0"/>
            </w:pPr>
            <w:r/>
            <w:r>
              <w:rPr>
                <w:rFonts w:ascii="Calibri" w:hAnsi="Calibri"/>
                <w:b w:val="0"/>
                <w:color w:val="172033"/>
                <w:sz w:val="17"/>
              </w:rPr>
              <w:t>P1</w:t>
            </w:r>
          </w:p>
        </w:tc>
      </w:tr>
      <w:tr>
        <w:tc>
          <w:tcPr>
            <w:tcW w:type="dxa" w:w="864"/>
            <w:vAlign w:val="center"/>
          </w:tcPr>
          <w:p>
            <w:pPr>
              <w:spacing w:after="0"/>
            </w:pPr>
            <w:r/>
            <w:r>
              <w:rPr>
                <w:rFonts w:ascii="Calibri" w:hAnsi="Calibri"/>
                <w:b w:val="0"/>
                <w:color w:val="172033"/>
                <w:sz w:val="17"/>
              </w:rPr>
              <w:t>APT-05</w:t>
            </w:r>
          </w:p>
        </w:tc>
        <w:tc>
          <w:tcPr>
            <w:tcW w:type="dxa" w:w="2376"/>
            <w:vAlign w:val="center"/>
          </w:tcPr>
          <w:p>
            <w:pPr>
              <w:spacing w:after="0"/>
            </w:pPr>
            <w:r/>
            <w:r>
              <w:rPr>
                <w:rFonts w:ascii="Calibri" w:hAnsi="Calibri"/>
                <w:b w:val="0"/>
                <w:color w:val="172033"/>
                <w:sz w:val="17"/>
              </w:rPr>
              <w:t>Saldo Awal/Jurnal Penyesuaian parse error</w:t>
            </w:r>
          </w:p>
        </w:tc>
        <w:tc>
          <w:tcPr>
            <w:tcW w:type="dxa" w:w="2232"/>
            <w:vAlign w:val="center"/>
          </w:tcPr>
          <w:p>
            <w:pPr>
              <w:spacing w:after="0"/>
            </w:pPr>
            <w:r/>
            <w:r>
              <w:rPr>
                <w:rFonts w:ascii="Calibri" w:hAnsi="Calibri"/>
                <w:b w:val="0"/>
                <w:color w:val="172033"/>
                <w:sz w:val="17"/>
              </w:rPr>
              <w:t>Opening/adjustment belum dapat divalidasi</w:t>
            </w:r>
          </w:p>
        </w:tc>
        <w:tc>
          <w:tcPr>
            <w:tcW w:type="dxa" w:w="3240"/>
            <w:vAlign w:val="center"/>
          </w:tcPr>
          <w:p>
            <w:pPr>
              <w:spacing w:after="0"/>
            </w:pPr>
            <w:r/>
            <w:r>
              <w:rPr>
                <w:rFonts w:ascii="Calibri" w:hAnsi="Calibri"/>
                <w:b w:val="0"/>
                <w:color w:val="172033"/>
                <w:sz w:val="17"/>
              </w:rPr>
              <w:t>Respons valid dan jurnal seimbang</w:t>
            </w:r>
          </w:p>
        </w:tc>
        <w:tc>
          <w:tcPr>
            <w:tcW w:type="dxa" w:w="1152"/>
            <w:vAlign w:val="center"/>
          </w:tcPr>
          <w:p>
            <w:pPr>
              <w:spacing w:after="0"/>
            </w:pPr>
            <w:r/>
            <w:r>
              <w:rPr>
                <w:rFonts w:ascii="Calibri" w:hAnsi="Calibri"/>
                <w:b w:val="0"/>
                <w:color w:val="172033"/>
                <w:sz w:val="17"/>
              </w:rPr>
              <w:t>P0 sebelum closing</w:t>
            </w:r>
          </w:p>
        </w:tc>
      </w:tr>
      <w:tr>
        <w:tc>
          <w:tcPr>
            <w:tcW w:type="dxa" w:w="864"/>
            <w:vAlign w:val="center"/>
            <w:shd w:fill="F8FAFC"/>
          </w:tcPr>
          <w:p>
            <w:pPr>
              <w:spacing w:after="0"/>
            </w:pPr>
            <w:r/>
            <w:r>
              <w:rPr>
                <w:rFonts w:ascii="Calibri" w:hAnsi="Calibri"/>
                <w:b w:val="0"/>
                <w:color w:val="172033"/>
                <w:sz w:val="17"/>
              </w:rPr>
              <w:t>APT-06</w:t>
            </w:r>
          </w:p>
        </w:tc>
        <w:tc>
          <w:tcPr>
            <w:tcW w:type="dxa" w:w="2376"/>
            <w:vAlign w:val="center"/>
            <w:shd w:fill="F8FAFC"/>
          </w:tcPr>
          <w:p>
            <w:pPr>
              <w:spacing w:after="0"/>
            </w:pPr>
            <w:r/>
            <w:r>
              <w:rPr>
                <w:rFonts w:ascii="Calibri" w:hAnsi="Calibri"/>
                <w:b w:val="0"/>
                <w:color w:val="172033"/>
                <w:sz w:val="17"/>
              </w:rPr>
              <w:t>Posting otomatis tertentu kosong/belum siap</w:t>
            </w:r>
          </w:p>
        </w:tc>
        <w:tc>
          <w:tcPr>
            <w:tcW w:type="dxa" w:w="2232"/>
            <w:vAlign w:val="center"/>
            <w:shd w:fill="F8FAFC"/>
          </w:tcPr>
          <w:p>
            <w:pPr>
              <w:spacing w:after="0"/>
            </w:pPr>
            <w:r/>
            <w:r>
              <w:rPr>
                <w:rFonts w:ascii="Calibri" w:hAnsi="Calibri"/>
                <w:b w:val="0"/>
                <w:color w:val="172033"/>
                <w:sz w:val="17"/>
              </w:rPr>
              <w:t>Jurnal memerlukan prosedur manual</w:t>
            </w:r>
          </w:p>
        </w:tc>
        <w:tc>
          <w:tcPr>
            <w:tcW w:type="dxa" w:w="3240"/>
            <w:vAlign w:val="center"/>
            <w:shd w:fill="F8FAFC"/>
          </w:tcPr>
          <w:p>
            <w:pPr>
              <w:spacing w:after="0"/>
            </w:pPr>
            <w:r/>
            <w:r>
              <w:rPr>
                <w:rFonts w:ascii="Calibri" w:hAnsi="Calibri"/>
                <w:b w:val="0"/>
                <w:color w:val="172033"/>
                <w:sz w:val="17"/>
              </w:rPr>
              <w:t>Preview, mapping, posting, rollback terverifikasi</w:t>
            </w:r>
          </w:p>
        </w:tc>
        <w:tc>
          <w:tcPr>
            <w:tcW w:type="dxa" w:w="1152"/>
            <w:vAlign w:val="center"/>
            <w:shd w:fill="F8FAFC"/>
          </w:tcPr>
          <w:p>
            <w:pPr>
              <w:spacing w:after="0"/>
            </w:pPr>
            <w:r/>
            <w:r>
              <w:rPr>
                <w:rFonts w:ascii="Calibri" w:hAnsi="Calibri"/>
                <w:b w:val="0"/>
                <w:color w:val="172033"/>
                <w:sz w:val="17"/>
              </w:rPr>
              <w:t>P0 sebelum otomatisasi</w:t>
            </w:r>
          </w:p>
        </w:tc>
      </w:tr>
      <w:tr>
        <w:tc>
          <w:tcPr>
            <w:tcW w:type="dxa" w:w="864"/>
            <w:vAlign w:val="center"/>
          </w:tcPr>
          <w:p>
            <w:pPr>
              <w:spacing w:after="0"/>
            </w:pPr>
            <w:r/>
            <w:r>
              <w:rPr>
                <w:rFonts w:ascii="Calibri" w:hAnsi="Calibri"/>
                <w:b w:val="0"/>
                <w:color w:val="172033"/>
                <w:sz w:val="17"/>
              </w:rPr>
              <w:t>APT-07</w:t>
            </w:r>
          </w:p>
        </w:tc>
        <w:tc>
          <w:tcPr>
            <w:tcW w:type="dxa" w:w="2376"/>
            <w:vAlign w:val="center"/>
          </w:tcPr>
          <w:p>
            <w:pPr>
              <w:spacing w:after="0"/>
            </w:pPr>
            <w:r/>
            <w:r>
              <w:rPr>
                <w:rFonts w:ascii="Calibri" w:hAnsi="Calibri"/>
                <w:b w:val="0"/>
                <w:color w:val="172033"/>
                <w:sz w:val="17"/>
              </w:rPr>
              <w:t>RenderFlex overflow 34 px pada katalog/anggaran</w:t>
            </w:r>
          </w:p>
        </w:tc>
        <w:tc>
          <w:tcPr>
            <w:tcW w:type="dxa" w:w="2232"/>
            <w:vAlign w:val="center"/>
          </w:tcPr>
          <w:p>
            <w:pPr>
              <w:spacing w:after="0"/>
            </w:pPr>
            <w:r/>
            <w:r>
              <w:rPr>
                <w:rFonts w:ascii="Calibri" w:hAnsi="Calibri"/>
                <w:b w:val="0"/>
                <w:color w:val="172033"/>
                <w:sz w:val="17"/>
              </w:rPr>
              <w:t>Tampilan terpotong pada resolusi tertentu</w:t>
            </w:r>
          </w:p>
        </w:tc>
        <w:tc>
          <w:tcPr>
            <w:tcW w:type="dxa" w:w="3240"/>
            <w:vAlign w:val="center"/>
          </w:tcPr>
          <w:p>
            <w:pPr>
              <w:spacing w:after="0"/>
            </w:pPr>
            <w:r/>
            <w:r>
              <w:rPr>
                <w:rFonts w:ascii="Calibri" w:hAnsi="Calibri"/>
                <w:b w:val="0"/>
                <w:color w:val="172033"/>
                <w:sz w:val="17"/>
              </w:rPr>
              <w:t>Tidak ada overflow pada 1366×768 dan 1600×900</w:t>
            </w:r>
          </w:p>
        </w:tc>
        <w:tc>
          <w:tcPr>
            <w:tcW w:type="dxa" w:w="1152"/>
            <w:vAlign w:val="center"/>
          </w:tcPr>
          <w:p>
            <w:pPr>
              <w:spacing w:after="0"/>
            </w:pPr>
            <w:r/>
            <w:r>
              <w:rPr>
                <w:rFonts w:ascii="Calibri" w:hAnsi="Calibri"/>
                <w:b w:val="0"/>
                <w:color w:val="172033"/>
                <w:sz w:val="17"/>
              </w:rPr>
              <w:t>P2</w:t>
            </w:r>
          </w:p>
        </w:tc>
      </w:tr>
      <w:tr>
        <w:tc>
          <w:tcPr>
            <w:tcW w:type="dxa" w:w="864"/>
            <w:vAlign w:val="center"/>
            <w:shd w:fill="F8FAFC"/>
          </w:tcPr>
          <w:p>
            <w:pPr>
              <w:spacing w:after="0"/>
            </w:pPr>
            <w:r/>
            <w:r>
              <w:rPr>
                <w:rFonts w:ascii="Calibri" w:hAnsi="Calibri"/>
                <w:b w:val="0"/>
                <w:color w:val="172033"/>
                <w:sz w:val="17"/>
              </w:rPr>
              <w:t>REL-01</w:t>
            </w:r>
          </w:p>
        </w:tc>
        <w:tc>
          <w:tcPr>
            <w:tcW w:type="dxa" w:w="2376"/>
            <w:vAlign w:val="center"/>
            <w:shd w:fill="F8FAFC"/>
          </w:tcPr>
          <w:p>
            <w:pPr>
              <w:spacing w:after="0"/>
            </w:pPr>
            <w:r/>
            <w:r>
              <w:rPr>
                <w:rFonts w:ascii="Calibri" w:hAnsi="Calibri"/>
                <w:b w:val="0"/>
                <w:color w:val="172033"/>
                <w:sz w:val="17"/>
              </w:rPr>
              <w:t>APK debug-signed; EXE tanpa Authenticode</w:t>
            </w:r>
          </w:p>
        </w:tc>
        <w:tc>
          <w:tcPr>
            <w:tcW w:type="dxa" w:w="2232"/>
            <w:vAlign w:val="center"/>
            <w:shd w:fill="F8FAFC"/>
          </w:tcPr>
          <w:p>
            <w:pPr>
              <w:spacing w:after="0"/>
            </w:pPr>
            <w:r/>
            <w:r>
              <w:rPr>
                <w:rFonts w:ascii="Calibri" w:hAnsi="Calibri"/>
                <w:b w:val="0"/>
                <w:color w:val="172033"/>
                <w:sz w:val="17"/>
              </w:rPr>
              <w:t>Tidak layak distribusi produksi</w:t>
            </w:r>
          </w:p>
        </w:tc>
        <w:tc>
          <w:tcPr>
            <w:tcW w:type="dxa" w:w="3240"/>
            <w:vAlign w:val="center"/>
            <w:shd w:fill="F8FAFC"/>
          </w:tcPr>
          <w:p>
            <w:pPr>
              <w:spacing w:after="0"/>
            </w:pPr>
            <w:r/>
            <w:r>
              <w:rPr>
                <w:rFonts w:ascii="Calibri" w:hAnsi="Calibri"/>
                <w:b w:val="0"/>
                <w:color w:val="172033"/>
                <w:sz w:val="17"/>
              </w:rPr>
              <w:t>Tanda tangan resmi dan verifikasi publisher/signature</w:t>
            </w:r>
          </w:p>
        </w:tc>
        <w:tc>
          <w:tcPr>
            <w:tcW w:type="dxa" w:w="1152"/>
            <w:vAlign w:val="center"/>
            <w:shd w:fill="F8FAFC"/>
          </w:tcPr>
          <w:p>
            <w:pPr>
              <w:spacing w:after="0"/>
            </w:pPr>
            <w:r/>
            <w:r>
              <w:rPr>
                <w:rFonts w:ascii="Calibri" w:hAnsi="Calibri"/>
                <w:b w:val="0"/>
                <w:color w:val="172033"/>
                <w:sz w:val="17"/>
              </w:rPr>
              <w:t>P0 produksi</w:t>
            </w:r>
          </w:p>
        </w:tc>
      </w:tr>
    </w:tbl>
    <w:p>
      <w:pPr>
        <w:pStyle w:val="Heading1"/>
      </w:pPr>
      <w:r>
        <w:t>Checklist pra-rilis dan deployment</w:t>
      </w:r>
    </w:p>
    <w:p>
      <w:pPr>
        <w:pStyle w:val="ListBullet"/>
        <w:ind w:left="540" w:hanging="269"/>
      </w:pPr>
      <w:r>
        <w:t>☐ Semua tes fokus, build Android, build Windows, dan kompilasi installer selesai tanpa error.</w:t>
      </w:r>
    </w:p>
    <w:p>
      <w:pPr>
        <w:pStyle w:val="ListBullet"/>
        <w:ind w:left="540" w:hanging="269"/>
      </w:pPr>
      <w:r>
        <w:t>☐ Nama varian, application ID, versionName/versionCode, file version, dan tag GitHub sama dengan v1.34.23/build 185.</w:t>
      </w:r>
    </w:p>
    <w:p>
      <w:pPr>
        <w:pStyle w:val="ListBullet"/>
        <w:ind w:left="540" w:hanging="269"/>
      </w:pPr>
      <w:r>
        <w:t>☐ APK dan installer EXE diverifikasi checksum SHA-256; aset Windows tidak dipublikasikan sebagai ZIP.</w:t>
      </w:r>
    </w:p>
    <w:p>
      <w:pPr>
        <w:pStyle w:val="ListBullet"/>
        <w:ind w:left="540" w:hanging="269"/>
      </w:pPr>
      <w:r>
        <w:t>☐ Tidak ada kredensial, token, data pasien nyata, atau file key signing di commit maupun release asset.</w:t>
      </w:r>
    </w:p>
    <w:p>
      <w:pPr>
        <w:pStyle w:val="ListBullet"/>
        <w:ind w:left="540" w:hanging="269"/>
      </w:pPr>
      <w:r>
        <w:t>☐ Backup, rollback, owner, dan jendela deployment ditetapkan sebelum deploy backend atau migrasi data.</w:t>
      </w:r>
    </w:p>
    <w:p>
      <w:pPr>
        <w:pStyle w:val="ListBullet"/>
        <w:ind w:left="540" w:hanging="269"/>
      </w:pPr>
      <w:r>
        <w:t>☐ Retest endpoint antrean, katalog, laporan, posting otomatis, saldo awal, dan perbandingan periode dijadwalkan setelah backend sesuai terdeploy.</w:t>
      </w:r>
    </w:p>
    <w:p>
      <w:pPr>
        <w:pStyle w:val="ListBullet"/>
        <w:ind w:left="540" w:hanging="269"/>
      </w:pPr>
      <w:r>
        <w:t>☐ Stakeholder memahami bahwa release saat ini ditandai UAT/pilot karena signing produksi belum tersedia.</w:t>
      </w:r>
    </w:p>
    <w:p>
      <w:pPr>
        <w:pStyle w:val="Heading2"/>
      </w:pPr>
      <w:r>
        <w:t>Rollback dan penghentian pilot</w:t>
      </w:r>
    </w:p>
    <w:p>
      <w:r>
        <w:t>Hentikan pilot bila transaksi gagal tersimpan, stok menjadi negatif/tidak dapat ditelusuri, batch kedaluwarsa dapat dijual, identitas pasien terbuka pada layar publik, dokumen pengadaan terduplikasi, pembayaran tidak memiliki sumber sah, jurnal tidak seimbang, atau laporan material berbeda dari dokumen sumber. Rollback klien dilakukan dengan memasang kembali artefak rilis sebelumnya yang telah diverifikasi checksum. Perubahan backend/data harus memakai backup dan skrip reversal yang disetujui pemilik sistem; jangan menghapus transaksi audit secara manual.</w:t>
      </w:r>
    </w:p>
    <w:p>
      <w:pPr>
        <w:pStyle w:val="Heading1"/>
      </w:pPr>
      <w:r>
        <w:t>Sign-off</w:t>
      </w:r>
    </w:p>
    <w:tbl>
      <w:tblPr>
        <w:tblStyle w:val="TableGrid"/>
        <w:tblW w:type="auto" w:w="0"/>
        <w:tblLayout w:type="fixed"/>
        <w:tblLook w:firstColumn="1" w:firstRow="1" w:lastColumn="0" w:lastRow="0" w:noHBand="0" w:noVBand="1" w:val="04A0"/>
      </w:tblPr>
      <w:tblGrid>
        <w:gridCol w:w="2340"/>
        <w:gridCol w:w="2340"/>
        <w:gridCol w:w="2340"/>
        <w:gridCol w:w="2340"/>
      </w:tblGrid>
      <w:tr>
        <w:trPr>
          <w:tblHeader w:val="true"/>
        </w:trPr>
        <w:tc>
          <w:tcPr>
            <w:tcW w:type="dxa" w:w="2592"/>
            <w:vAlign w:val="center"/>
            <w:shd w:fill="075985"/>
          </w:tcPr>
          <w:p>
            <w:pPr>
              <w:spacing w:after="0"/>
            </w:pPr>
            <w:r/>
            <w:r>
              <w:rPr>
                <w:rFonts w:ascii="Calibri" w:hAnsi="Calibri"/>
                <w:b/>
                <w:color w:val="FFFFFF"/>
                <w:sz w:val="18"/>
              </w:rPr>
              <w:t>Peran</w:t>
            </w:r>
          </w:p>
        </w:tc>
        <w:tc>
          <w:tcPr>
            <w:tcW w:type="dxa" w:w="2304"/>
            <w:vAlign w:val="center"/>
            <w:shd w:fill="075985"/>
          </w:tcPr>
          <w:p>
            <w:pPr>
              <w:spacing w:after="0"/>
            </w:pPr>
            <w:r/>
            <w:r>
              <w:rPr>
                <w:rFonts w:ascii="Calibri" w:hAnsi="Calibri"/>
                <w:b/>
                <w:color w:val="FFFFFF"/>
                <w:sz w:val="18"/>
              </w:rPr>
              <w:t>Nama</w:t>
            </w:r>
          </w:p>
        </w:tc>
        <w:tc>
          <w:tcPr>
            <w:tcW w:type="dxa" w:w="2160"/>
            <w:vAlign w:val="center"/>
            <w:shd w:fill="075985"/>
          </w:tcPr>
          <w:p>
            <w:pPr>
              <w:spacing w:after="0"/>
            </w:pPr>
            <w:r/>
            <w:r>
              <w:rPr>
                <w:rFonts w:ascii="Calibri" w:hAnsi="Calibri"/>
                <w:b/>
                <w:color w:val="FFFFFF"/>
                <w:sz w:val="18"/>
              </w:rPr>
              <w:t>Keputusan</w:t>
            </w:r>
          </w:p>
        </w:tc>
        <w:tc>
          <w:tcPr>
            <w:tcW w:type="dxa" w:w="2160"/>
            <w:vAlign w:val="center"/>
            <w:shd w:fill="075985"/>
          </w:tcPr>
          <w:p>
            <w:pPr>
              <w:spacing w:after="0"/>
            </w:pPr>
            <w:r/>
            <w:r>
              <w:rPr>
                <w:rFonts w:ascii="Calibri" w:hAnsi="Calibri"/>
                <w:b/>
                <w:color w:val="FFFFFF"/>
                <w:sz w:val="18"/>
              </w:rPr>
              <w:t>Tanggal / tanda tangan</w:t>
            </w:r>
          </w:p>
        </w:tc>
      </w:tr>
      <w:tr>
        <w:tc>
          <w:tcPr>
            <w:tcW w:type="dxa" w:w="2592"/>
            <w:vAlign w:val="center"/>
          </w:tcPr>
          <w:p>
            <w:pPr>
              <w:spacing w:after="0"/>
            </w:pPr>
            <w:r/>
            <w:r>
              <w:rPr>
                <w:rFonts w:ascii="Calibri" w:hAnsi="Calibri"/>
                <w:b w:val="0"/>
                <w:color w:val="172033"/>
                <w:sz w:val="17"/>
              </w:rPr>
              <w:t>Owner Apotik</w:t>
            </w:r>
          </w:p>
        </w:tc>
        <w:tc>
          <w:tcPr>
            <w:tcW w:type="dxa" w:w="2304"/>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r>
      <w:tr>
        <w:tc>
          <w:tcPr>
            <w:tcW w:type="dxa" w:w="2592"/>
            <w:vAlign w:val="center"/>
            <w:shd w:fill="F8FAFC"/>
          </w:tcPr>
          <w:p>
            <w:pPr>
              <w:spacing w:after="0"/>
            </w:pPr>
            <w:r/>
            <w:r>
              <w:rPr>
                <w:rFonts w:ascii="Calibri" w:hAnsi="Calibri"/>
                <w:b w:val="0"/>
                <w:color w:val="172033"/>
                <w:sz w:val="17"/>
              </w:rPr>
              <w:t>Apoteker Penanggung Jawab</w:t>
            </w:r>
          </w:p>
        </w:tc>
        <w:tc>
          <w:tcPr>
            <w:tcW w:type="dxa" w:w="2304"/>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r>
      <w:tr>
        <w:tc>
          <w:tcPr>
            <w:tcW w:type="dxa" w:w="2592"/>
            <w:vAlign w:val="center"/>
          </w:tcPr>
          <w:p>
            <w:pPr>
              <w:spacing w:after="0"/>
            </w:pPr>
            <w:r/>
            <w:r>
              <w:rPr>
                <w:rFonts w:ascii="Calibri" w:hAnsi="Calibri"/>
                <w:b w:val="0"/>
                <w:color w:val="172033"/>
                <w:sz w:val="17"/>
              </w:rPr>
              <w:t>Owner Procurement</w:t>
            </w:r>
          </w:p>
        </w:tc>
        <w:tc>
          <w:tcPr>
            <w:tcW w:type="dxa" w:w="2304"/>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r>
      <w:tr>
        <w:tc>
          <w:tcPr>
            <w:tcW w:type="dxa" w:w="2592"/>
            <w:vAlign w:val="center"/>
            <w:shd w:fill="F8FAFC"/>
          </w:tcPr>
          <w:p>
            <w:pPr>
              <w:spacing w:after="0"/>
            </w:pPr>
            <w:r/>
            <w:r>
              <w:rPr>
                <w:rFonts w:ascii="Calibri" w:hAnsi="Calibri"/>
                <w:b w:val="0"/>
                <w:color w:val="172033"/>
                <w:sz w:val="17"/>
              </w:rPr>
              <w:t>Owner Keuangan/Akuntansi</w:t>
            </w:r>
          </w:p>
        </w:tc>
        <w:tc>
          <w:tcPr>
            <w:tcW w:type="dxa" w:w="2304"/>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r>
      <w:tr>
        <w:tc>
          <w:tcPr>
            <w:tcW w:type="dxa" w:w="2592"/>
            <w:vAlign w:val="center"/>
          </w:tcPr>
          <w:p>
            <w:pPr>
              <w:spacing w:after="0"/>
            </w:pPr>
            <w:r/>
            <w:r>
              <w:rPr>
                <w:rFonts w:ascii="Calibri" w:hAnsi="Calibri"/>
                <w:b w:val="0"/>
                <w:color w:val="172033"/>
                <w:sz w:val="17"/>
              </w:rPr>
              <w:t>IT/DevOps</w:t>
            </w:r>
          </w:p>
        </w:tc>
        <w:tc>
          <w:tcPr>
            <w:tcW w:type="dxa" w:w="2304"/>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c>
          <w:tcPr>
            <w:tcW w:type="dxa" w:w="2160"/>
            <w:vAlign w:val="center"/>
          </w:tcPr>
          <w:p>
            <w:pPr>
              <w:spacing w:after="0"/>
            </w:pPr>
            <w:r/>
            <w:r>
              <w:rPr>
                <w:rFonts w:ascii="Calibri" w:hAnsi="Calibri"/>
                <w:b w:val="0"/>
                <w:color w:val="172033"/>
                <w:sz w:val="17"/>
              </w:rPr>
            </w:r>
          </w:p>
        </w:tc>
      </w:tr>
      <w:tr>
        <w:tc>
          <w:tcPr>
            <w:tcW w:type="dxa" w:w="2592"/>
            <w:vAlign w:val="center"/>
            <w:shd w:fill="F8FAFC"/>
          </w:tcPr>
          <w:p>
            <w:pPr>
              <w:spacing w:after="0"/>
            </w:pPr>
            <w:r/>
            <w:r>
              <w:rPr>
                <w:rFonts w:ascii="Calibri" w:hAnsi="Calibri"/>
                <w:b w:val="0"/>
                <w:color w:val="172033"/>
                <w:sz w:val="17"/>
              </w:rPr>
              <w:t>Keamanan/Privasi</w:t>
            </w:r>
          </w:p>
        </w:tc>
        <w:tc>
          <w:tcPr>
            <w:tcW w:type="dxa" w:w="2304"/>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c>
          <w:tcPr>
            <w:tcW w:type="dxa" w:w="2160"/>
            <w:vAlign w:val="center"/>
            <w:shd w:fill="F8FAFC"/>
          </w:tcPr>
          <w:p>
            <w:pPr>
              <w:spacing w:after="0"/>
            </w:pPr>
            <w:r/>
            <w:r>
              <w:rPr>
                <w:rFonts w:ascii="Calibri" w:hAnsi="Calibri"/>
                <w:b w:val="0"/>
                <w:color w:val="172033"/>
                <w:sz w:val="17"/>
              </w:rPr>
            </w:r>
          </w:p>
        </w:tc>
      </w:tr>
    </w:tbl>
    <w:p>
      <w:pPr>
        <w:pStyle w:val="Heading1"/>
      </w:pPr>
      <w:r>
        <w:t>Lampiran: artefak mesin</w:t>
      </w:r>
    </w:p>
    <w:p>
      <w:pPr>
        <w:pStyle w:val="ListBullet"/>
        <w:ind w:left="540" w:hanging="269"/>
      </w:pPr>
      <w:r>
        <w:t>docs\pos-apotik-emedik\uat-v1.34.23\screenshots\uat-summary.json</w:t>
      </w:r>
    </w:p>
    <w:p>
      <w:pPr>
        <w:pStyle w:val="ListBullet"/>
        <w:ind w:left="540" w:hanging="269"/>
      </w:pPr>
      <w:r>
        <w:t>docs\pos-apotik-emedik\uat-v1.34.23\screenshots\procurement-summary.json</w:t>
      </w:r>
    </w:p>
    <w:p>
      <w:pPr>
        <w:pStyle w:val="ListBullet"/>
        <w:ind w:left="540" w:hanging="269"/>
      </w:pPr>
      <w:r>
        <w:t>docs\pos-apotik-emedik\uat-v1.34.23\screenshots\vendor-journal-summary.json</w:t>
      </w:r>
    </w:p>
    <w:p>
      <w:r>
        <w:t>Dokumen ini hanya menampilkan sembilan screenshot representatif agar setiap gambar mempunyai narasi minimal 500 kata serta diagram use case, flowchart, dan ERD/aliran data. Seluruh screenshot mentah tetap berada di folder UAT v1.34.23 pada repository.</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16"/>
      </w:rPr>
      <w:t xml:space="preserve">Dokumen terkendali • Halaman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6"/>
      </w:rPr>
      <w:t>POS APOTIK • UAT &amp; MANUAL • 1.34.23 (build 185)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720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07598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07598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0B1F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80" w:line="240" w:lineRule="auto" w:before="0"/>
      <w:contextualSpacing/>
    </w:pPr>
    <w:rPr>
      <w:rFonts w:asciiTheme="majorHAnsi" w:eastAsiaTheme="majorEastAsia" w:hAnsiTheme="majorHAnsi" w:cstheme="majorBidi" w:ascii="Calibri" w:hAnsi="Calibri"/>
      <w:b/>
      <w:color w:val="0B1F33"/>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UAT dan Manual POS Apotik v1.34.23</dc:title>
  <dc:subject>UAT end-to-end server demo, data volume, akuntansi, laporan, dan panduan operasi</dc:subject>
  <dc:creator>Tim eBisnis / Zishof</dc:creator>
  <cp:keywords>POS Apotik, UAT, manual, farmasi, pengadaan, akuntansi, Android, Windows</cp:keywords>
  <dc:description>generated by python-docx</dc:description>
  <cp:lastModifiedBy/>
  <cp:revision>1</cp:revision>
  <dcterms:created xsi:type="dcterms:W3CDTF">2013-12-23T23:15:00Z</dcterms:created>
  <dcterms:modified xsi:type="dcterms:W3CDTF">2013-12-23T23:15:00Z</dcterms:modified>
  <cp:category/>
</cp:coreProperties>
</file>