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left"/>
      </w:pPr>
      <w:r>
        <w:rPr>
          <w:b/>
          <w:color w:val="1F4E79"/>
          <w:sz w:val="80"/>
        </w:rPr>
        <w:t>Augur</w:t>
      </w:r>
    </w:p>
    <w:p>
      <w:r>
        <w:rPr>
          <w:color w:val="1A1A1A"/>
          <w:sz w:val="44"/>
        </w:rPr>
        <w:t>Funcionamiento del sistema</w:t>
      </w:r>
    </w:p>
    <w:p>
      <w:r>
        <w:rPr>
          <w:color w:val="595959"/>
          <w:sz w:val="25"/>
        </w:rPr>
        <w:t>Pronóstico del precio de bolsa de energía en Colombia y motor de decisión: datos, variables, modelos, métricas de calidad, resultados y operación</w:t>
      </w:r>
    </w:p>
    <w:p/>
    <w:p/>
    <w:p/>
    <w:p/>
    <w:p/>
    <w:p/>
    <w:p/>
    <w:p/>
    <w:p/>
    <w:p>
      <w:pPr>
        <w:spacing w:after="40"/>
      </w:pPr>
      <w:r>
        <w:rPr>
          <w:b/>
          <w:color w:val="595959"/>
          <w:sz w:val="22"/>
        </w:rPr>
        <w:t>Juan David Barceló Barraza · Rafael Andrés Dede Perdomo</w:t>
      </w:r>
    </w:p>
    <w:p>
      <w:pPr>
        <w:spacing w:after="40"/>
      </w:pPr>
      <w:r>
        <w:rPr>
          <w:color w:val="595959"/>
          <w:sz w:val="22"/>
        </w:rPr>
        <w:t>Ingeniería Electrónica · Universidad del Norte</w:t>
      </w:r>
    </w:p>
    <w:p>
      <w:pPr>
        <w:spacing w:after="40"/>
      </w:pPr>
      <w:r>
        <w:rPr>
          <w:color w:val="595959"/>
          <w:sz w:val="22"/>
        </w:rPr>
        <w:t>Documento de referencia técnica · versión del 19 de octubre de 2026</w:t>
      </w:r>
    </w:p>
    <w:p>
      <w:pPr>
        <w:spacing w:after="40"/>
      </w:pPr>
      <w:r>
        <w:rPr>
          <w:color w:val="595959"/>
          <w:sz w:val="22"/>
        </w:rPr>
        <w:t>Dashboard: augurpredictor.streamlit.app</w:t>
      </w:r>
    </w:p>
    <w:p>
      <w:r>
        <w:br w:type="page"/>
      </w:r>
    </w:p>
    <w:p>
      <w:pPr>
        <w:pStyle w:val="Heading1"/>
      </w:pPr>
      <w:r>
        <w:t>Contenido</w:t>
      </w:r>
    </w:p>
    <w:p>
      <w:pPr>
        <w:spacing w:after="60"/>
      </w:pPr>
      <w:r>
        <w:rPr>
          <w:sz w:val="23"/>
        </w:rPr>
        <w:t>1.  Resumen: qué hace Augur y cifras clave</w:t>
      </w:r>
    </w:p>
    <w:p>
      <w:pPr>
        <w:spacing w:after="60"/>
      </w:pPr>
      <w:r>
        <w:rPr>
          <w:sz w:val="23"/>
        </w:rPr>
        <w:t>2.  El mercado y qué se pronostica</w:t>
      </w:r>
    </w:p>
    <w:p>
      <w:pPr>
        <w:spacing w:after="60"/>
      </w:pPr>
      <w:r>
        <w:rPr>
          <w:sz w:val="23"/>
        </w:rPr>
        <w:t>3.  Datos e información disponible al corte</w:t>
      </w:r>
    </w:p>
    <w:p>
      <w:pPr>
        <w:spacing w:after="60"/>
      </w:pPr>
      <w:r>
        <w:rPr>
          <w:sz w:val="23"/>
        </w:rPr>
        <w:t>4.  Variables de entrada (66)</w:t>
      </w:r>
    </w:p>
    <w:p>
      <w:pPr>
        <w:spacing w:after="60"/>
      </w:pPr>
      <w:r>
        <w:rPr>
          <w:sz w:val="23"/>
        </w:rPr>
        <w:t>5.  Modelos finales</w:t>
      </w:r>
    </w:p>
    <w:p>
      <w:pPr>
        <w:spacing w:after="60"/>
      </w:pPr>
      <w:r>
        <w:rPr>
          <w:sz w:val="23"/>
        </w:rPr>
        <w:t>6.  Motor de decisión</w:t>
      </w:r>
    </w:p>
    <w:p>
      <w:pPr>
        <w:spacing w:after="60"/>
      </w:pPr>
      <w:r>
        <w:rPr>
          <w:sz w:val="23"/>
        </w:rPr>
        <w:t>7.  Métricas de calidad: qué son y por qué se usan</w:t>
      </w:r>
    </w:p>
    <w:p>
      <w:pPr>
        <w:spacing w:after="60"/>
      </w:pPr>
      <w:r>
        <w:rPr>
          <w:sz w:val="23"/>
        </w:rPr>
        <w:t>8.  Cómo se validó</w:t>
      </w:r>
    </w:p>
    <w:p>
      <w:pPr>
        <w:spacing w:after="60"/>
      </w:pPr>
      <w:r>
        <w:rPr>
          <w:sz w:val="23"/>
        </w:rPr>
        <w:t>9.  Resultados</w:t>
      </w:r>
    </w:p>
    <w:p>
      <w:pPr>
        <w:spacing w:after="60"/>
      </w:pPr>
      <w:r>
        <w:rPr>
          <w:sz w:val="23"/>
        </w:rPr>
        <w:t>10.  Comparación con otros trabajos</w:t>
      </w:r>
    </w:p>
    <w:p>
      <w:pPr>
        <w:spacing w:after="60"/>
      </w:pPr>
      <w:r>
        <w:rPr>
          <w:sz w:val="23"/>
        </w:rPr>
        <w:t>11.  Operación diaria</w:t>
      </w:r>
    </w:p>
    <w:p>
      <w:pPr>
        <w:spacing w:after="60"/>
      </w:pPr>
      <w:r>
        <w:rPr>
          <w:sz w:val="23"/>
        </w:rPr>
        <w:t>12.  Limitaciones conocidas</w:t>
      </w:r>
    </w:p>
    <w:p>
      <w:pPr>
        <w:spacing w:after="60"/>
      </w:pPr>
      <w:r>
        <w:rPr>
          <w:sz w:val="23"/>
        </w:rPr>
        <w:t>13.  Glosario</w:t>
      </w:r>
    </w:p>
    <w:p>
      <w:r>
        <w:br w:type="page"/>
      </w:r>
    </w:p>
    <w:p>
      <w:pPr>
        <w:pStyle w:val="Heading1"/>
      </w:pPr>
      <w:r>
        <w:t>1. Resumen: qué hace Augur y cifras clave</w:t>
      </w:r>
    </w:p>
    <w:p>
      <w:pPr>
        <w:jc w:val="both"/>
      </w:pPr>
      <w:r>
        <w:t xml:space="preserve">Augur pronostica, hora por hora, el </w:t>
      </w:r>
      <w:r>
        <w:rPr>
          <w:b/>
        </w:rPr>
        <w:t>precio de bolsa nacional</w:t>
      </w:r>
      <w:r>
        <w:t xml:space="preserve"> del mercado mayorista colombiano para el día siguiente (24 h) y para los tres días siguientes (72 h). Para cada hora entrega un valor central (la mediana, q50), una banda de incertidumbre del 80 % (q10 a q90) y la probabilidad de que ocurra un </w:t>
      </w:r>
      <w:r>
        <w:rPr>
          <w:b/>
        </w:rPr>
        <w:t>pico</w:t>
      </w:r>
      <w:r>
        <w:t xml:space="preserve"> o un </w:t>
      </w:r>
      <w:r>
        <w:rPr>
          <w:b/>
        </w:rPr>
        <w:t>desplome</w:t>
      </w:r>
      <w:r>
        <w:t xml:space="preserve"> de precio. Sobre ese pronóstico, un </w:t>
      </w:r>
      <w:r>
        <w:rPr>
          <w:b/>
        </w:rPr>
        <w:t>motor de decisión</w:t>
      </w:r>
      <w:r>
        <w:t xml:space="preserve"> traduce los números en una recomendación por hora para dos tipos de usuario: el generador (vender, retener o esperar) y el comercializador (comprar, evitar la compra o esperar). Todo se muestra en un dashboard web público que se actualiza solo tres veces al día.</w:t>
      </w:r>
    </w:p>
    <w:p>
      <w:pPr>
        <w:jc w:val="both"/>
      </w:pPr>
      <w:r>
        <w:t xml:space="preserve">La idea central del diseño definitivo es sencilla: </w:t>
      </w:r>
      <w:r>
        <w:rPr>
          <w:b/>
        </w:rPr>
        <w:t>no se pronostica el precio desde cero, se corrige el predespacho ideal que XM publica el día anterior</w:t>
      </w:r>
      <w:r>
        <w:t>. El predespacho ya contiene las ofertas de los generadores y la demanda esperada, que son las que fijan el precio; lo que Augur aprende es en qué condiciones el predespacho se equivoca y cuánto. Tres modelos CatBoost estiman esa corrección y un combinador causal mezcla el resultado con el predespacho.</w:t>
      </w:r>
    </w:p>
    <w:p>
      <w:pPr>
        <w:jc w:val="both"/>
      </w:pPr>
      <w:r>
        <w:t xml:space="preserve">Regla que atraviesa todo el proyecto: </w:t>
      </w:r>
      <w:r>
        <w:rPr>
          <w:b/>
        </w:rPr>
        <w:t>solo se usa información pública que ya existe en el momento de pronosticar</w:t>
      </w:r>
      <w:r>
        <w:t xml:space="preserve"> (el corte, a las 00:00 del día pronosticado). XM publica el precio con unos tres días de rezago, así que el modelo nunca ve el precio de ayer. Esta restricción hace la tarea más difícil, pero es la que enfrentaría un usuario real con datos públicos.</w:t>
      </w:r>
    </w:p>
    <w:p>
      <w:pPr>
        <w:keepNext/>
        <w:spacing w:after="60"/>
      </w:pPr>
      <w:r>
        <w:rPr>
          <w:b/>
          <w:color w:val="1F4E79"/>
          <w:sz w:val="20"/>
        </w:rPr>
        <w:t>Tabla 1. Cifras clave del sistema</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371"/>
            <w:shd w:val="clear" w:color="auto" w:fill="1F4E79"/>
          </w:tcPr>
          <w:p>
            <w:pPr>
              <w:spacing w:after="20" w:line="240" w:lineRule="auto"/>
            </w:pPr>
            <w:r>
              <w:rPr>
                <w:b/>
                <w:color w:val="FFFFFF"/>
                <w:sz w:val="18"/>
              </w:rPr>
              <w:t>Indicador</w:t>
            </w:r>
          </w:p>
        </w:tc>
        <w:tc>
          <w:tcPr>
            <w:tcW w:type="dxa" w:w="2087"/>
            <w:shd w:val="clear" w:color="auto" w:fill="1F4E79"/>
          </w:tcPr>
          <w:p>
            <w:pPr>
              <w:spacing w:after="20" w:line="240" w:lineRule="auto"/>
            </w:pPr>
            <w:r>
              <w:rPr>
                <w:b/>
                <w:color w:val="FFFFFF"/>
                <w:sz w:val="18"/>
              </w:rPr>
              <w:t>Valor</w:t>
            </w:r>
          </w:p>
        </w:tc>
        <w:tc>
          <w:tcPr>
            <w:tcW w:type="dxa" w:w="4174"/>
            <w:shd w:val="clear" w:color="auto" w:fill="1F4E79"/>
          </w:tcPr>
          <w:p>
            <w:pPr>
              <w:spacing w:after="20" w:line="240" w:lineRule="auto"/>
            </w:pPr>
            <w:r>
              <w:rPr>
                <w:b/>
                <w:color w:val="FFFFFF"/>
                <w:sz w:val="18"/>
              </w:rPr>
              <w:t>Contexto</w:t>
            </w:r>
          </w:p>
        </w:tc>
      </w:tr>
      <w:tr>
        <w:tc>
          <w:tcPr>
            <w:tcW w:type="dxa" w:w="3371"/>
          </w:tcPr>
          <w:p>
            <w:pPr>
              <w:spacing w:after="20" w:line="240" w:lineRule="auto"/>
            </w:pPr>
            <w:r>
              <w:rPr>
                <w:sz w:val="18"/>
              </w:rPr>
              <w:t>Error absoluto medio (MAE), 24 h, 2026</w:t>
            </w:r>
          </w:p>
        </w:tc>
        <w:tc>
          <w:tcPr>
            <w:tcW w:type="dxa" w:w="2087"/>
          </w:tcPr>
          <w:p>
            <w:pPr>
              <w:spacing w:after="20" w:line="240" w:lineRule="auto"/>
            </w:pPr>
            <w:r>
              <w:rPr>
                <w:sz w:val="18"/>
              </w:rPr>
              <w:t>33,7 COP/kWh</w:t>
            </w:r>
          </w:p>
        </w:tc>
        <w:tc>
          <w:tcPr>
            <w:tcW w:type="dxa" w:w="4174"/>
          </w:tcPr>
          <w:p>
            <w:pPr>
              <w:spacing w:after="20" w:line="240" w:lineRule="auto"/>
            </w:pPr>
            <w:r>
              <w:rPr>
                <w:sz w:val="18"/>
              </w:rPr>
              <w:t>sobre 5.184 horas (ene-ago 2026)</w:t>
            </w:r>
          </w:p>
        </w:tc>
      </w:tr>
      <w:tr>
        <w:tc>
          <w:tcPr>
            <w:tcW w:type="dxa" w:w="3371"/>
            <w:shd w:val="clear" w:color="auto" w:fill="F3F6FA"/>
          </w:tcPr>
          <w:p>
            <w:pPr>
              <w:spacing w:after="20" w:line="240" w:lineRule="auto"/>
            </w:pPr>
            <w:r>
              <w:rPr>
                <w:sz w:val="18"/>
              </w:rPr>
              <w:t>Error porcentual (MAPE), 24 h</w:t>
            </w:r>
          </w:p>
        </w:tc>
        <w:tc>
          <w:tcPr>
            <w:tcW w:type="dxa" w:w="2087"/>
            <w:shd w:val="clear" w:color="auto" w:fill="F3F6FA"/>
          </w:tcPr>
          <w:p>
            <w:pPr>
              <w:spacing w:after="20" w:line="240" w:lineRule="auto"/>
            </w:pPr>
            <w:r>
              <w:rPr>
                <w:sz w:val="18"/>
              </w:rPr>
              <w:t>10,0 %</w:t>
            </w:r>
          </w:p>
        </w:tc>
        <w:tc>
          <w:tcPr>
            <w:tcW w:type="dxa" w:w="4174"/>
            <w:shd w:val="clear" w:color="auto" w:fill="F3F6FA"/>
          </w:tcPr>
          <w:p>
            <w:pPr>
              <w:spacing w:after="20" w:line="240" w:lineRule="auto"/>
            </w:pPr>
            <w:r>
              <w:rPr>
                <w:sz w:val="18"/>
              </w:rPr>
              <w:t>el precio medio del periodo fue ~395 COP/kWh</w:t>
            </w:r>
          </w:p>
        </w:tc>
      </w:tr>
      <w:tr>
        <w:tc>
          <w:tcPr>
            <w:tcW w:type="dxa" w:w="3371"/>
          </w:tcPr>
          <w:p>
            <w:pPr>
              <w:spacing w:after="20" w:line="240" w:lineRule="auto"/>
            </w:pPr>
            <w:r>
              <w:rPr>
                <w:sz w:val="18"/>
              </w:rPr>
              <w:t>Mejora frente a la persistencia</w:t>
            </w:r>
          </w:p>
        </w:tc>
        <w:tc>
          <w:tcPr>
            <w:tcW w:type="dxa" w:w="2087"/>
          </w:tcPr>
          <w:p>
            <w:pPr>
              <w:spacing w:after="20" w:line="240" w:lineRule="auto"/>
            </w:pPr>
            <w:r>
              <w:rPr>
                <w:sz w:val="18"/>
              </w:rPr>
              <w:t>68 % menos error</w:t>
            </w:r>
          </w:p>
        </w:tc>
        <w:tc>
          <w:tcPr>
            <w:tcW w:type="dxa" w:w="4174"/>
          </w:tcPr>
          <w:p>
            <w:pPr>
              <w:spacing w:after="20" w:line="240" w:lineRule="auto"/>
            </w:pPr>
            <w:r>
              <w:rPr>
                <w:sz w:val="18"/>
              </w:rPr>
              <w:t>persistencia: 105,9 COP/kWh; DM t = 13,3</w:t>
            </w:r>
          </w:p>
        </w:tc>
      </w:tr>
      <w:tr>
        <w:tc>
          <w:tcPr>
            <w:tcW w:type="dxa" w:w="3371"/>
            <w:shd w:val="clear" w:color="auto" w:fill="F3F6FA"/>
          </w:tcPr>
          <w:p>
            <w:pPr>
              <w:spacing w:after="20" w:line="240" w:lineRule="auto"/>
            </w:pPr>
            <w:r>
              <w:rPr>
                <w:sz w:val="18"/>
              </w:rPr>
              <w:t>Mejora frente al predespacho de XM</w:t>
            </w:r>
          </w:p>
        </w:tc>
        <w:tc>
          <w:tcPr>
            <w:tcW w:type="dxa" w:w="2087"/>
            <w:shd w:val="clear" w:color="auto" w:fill="F3F6FA"/>
          </w:tcPr>
          <w:p>
            <w:pPr>
              <w:spacing w:after="20" w:line="240" w:lineRule="auto"/>
            </w:pPr>
            <w:r>
              <w:rPr>
                <w:sz w:val="18"/>
              </w:rPr>
              <w:t>11 % menos error</w:t>
            </w:r>
          </w:p>
        </w:tc>
        <w:tc>
          <w:tcPr>
            <w:tcW w:type="dxa" w:w="4174"/>
            <w:shd w:val="clear" w:color="auto" w:fill="F3F6FA"/>
          </w:tcPr>
          <w:p>
            <w:pPr>
              <w:spacing w:after="20" w:line="240" w:lineRule="auto"/>
            </w:pPr>
            <w:r>
              <w:rPr>
                <w:sz w:val="18"/>
              </w:rPr>
              <w:t>predespacho: 37,9 COP/kWh; DM t = 8,6</w:t>
            </w:r>
          </w:p>
        </w:tc>
      </w:tr>
      <w:tr>
        <w:tc>
          <w:tcPr>
            <w:tcW w:type="dxa" w:w="3371"/>
          </w:tcPr>
          <w:p>
            <w:pPr>
              <w:spacing w:after="20" w:line="240" w:lineRule="auto"/>
            </w:pPr>
            <w:r>
              <w:rPr>
                <w:sz w:val="18"/>
              </w:rPr>
              <w:t>MAE a 72 h (pasos 1 a 72)</w:t>
            </w:r>
          </w:p>
        </w:tc>
        <w:tc>
          <w:tcPr>
            <w:tcW w:type="dxa" w:w="2087"/>
          </w:tcPr>
          <w:p>
            <w:pPr>
              <w:spacing w:after="20" w:line="240" w:lineRule="auto"/>
            </w:pPr>
            <w:r>
              <w:rPr>
                <w:sz w:val="18"/>
              </w:rPr>
              <w:t>52,2 COP/kWh</w:t>
            </w:r>
          </w:p>
        </w:tc>
        <w:tc>
          <w:tcPr>
            <w:tcW w:type="dxa" w:w="4174"/>
          </w:tcPr>
          <w:p>
            <w:pPr>
              <w:spacing w:after="20" w:line="240" w:lineRule="auto"/>
            </w:pPr>
            <w:r>
              <w:rPr>
                <w:sz w:val="18"/>
              </w:rPr>
              <w:t>25-48 h: 50,2 · 49-72 h: 73,2</w:t>
            </w:r>
          </w:p>
        </w:tc>
      </w:tr>
      <w:tr>
        <w:tc>
          <w:tcPr>
            <w:tcW w:type="dxa" w:w="3371"/>
            <w:shd w:val="clear" w:color="auto" w:fill="F3F6FA"/>
          </w:tcPr>
          <w:p>
            <w:pPr>
              <w:spacing w:after="20" w:line="240" w:lineRule="auto"/>
            </w:pPr>
            <w:r>
              <w:rPr>
                <w:sz w:val="18"/>
              </w:rPr>
              <w:t>Cobertura de la banda del 80 %</w:t>
            </w:r>
          </w:p>
        </w:tc>
        <w:tc>
          <w:tcPr>
            <w:tcW w:type="dxa" w:w="2087"/>
            <w:shd w:val="clear" w:color="auto" w:fill="F3F6FA"/>
          </w:tcPr>
          <w:p>
            <w:pPr>
              <w:spacing w:after="20" w:line="240" w:lineRule="auto"/>
            </w:pPr>
            <w:r>
              <w:rPr>
                <w:sz w:val="18"/>
              </w:rPr>
              <w:t>80,6 %</w:t>
            </w:r>
          </w:p>
        </w:tc>
        <w:tc>
          <w:tcPr>
            <w:tcW w:type="dxa" w:w="4174"/>
            <w:shd w:val="clear" w:color="auto" w:fill="F3F6FA"/>
          </w:tcPr>
          <w:p>
            <w:pPr>
              <w:spacing w:after="20" w:line="240" w:lineRule="auto"/>
            </w:pPr>
            <w:r>
              <w:rPr>
                <w:sz w:val="18"/>
              </w:rPr>
              <w:t>objetivo 80 %; ancho medio 142 COP/kWh</w:t>
            </w:r>
          </w:p>
        </w:tc>
      </w:tr>
      <w:tr>
        <w:tc>
          <w:tcPr>
            <w:tcW w:type="dxa" w:w="3371"/>
          </w:tcPr>
          <w:p>
            <w:pPr>
              <w:spacing w:after="20" w:line="240" w:lineRule="auto"/>
            </w:pPr>
            <w:r>
              <w:rPr>
                <w:sz w:val="18"/>
              </w:rPr>
              <w:t>Detección de picos (AUC)</w:t>
            </w:r>
          </w:p>
        </w:tc>
        <w:tc>
          <w:tcPr>
            <w:tcW w:type="dxa" w:w="2087"/>
          </w:tcPr>
          <w:p>
            <w:pPr>
              <w:spacing w:after="20" w:line="240" w:lineRule="auto"/>
            </w:pPr>
            <w:r>
              <w:rPr>
                <w:sz w:val="18"/>
              </w:rPr>
              <w:t>0,97</w:t>
            </w:r>
          </w:p>
        </w:tc>
        <w:tc>
          <w:tcPr>
            <w:tcW w:type="dxa" w:w="4174"/>
          </w:tcPr>
          <w:p>
            <w:pPr>
              <w:spacing w:after="20" w:line="240" w:lineRule="auto"/>
            </w:pPr>
            <w:r>
              <w:rPr>
                <w:sz w:val="18"/>
              </w:rPr>
              <w:t>desplomes: AUC 0,94</w:t>
            </w:r>
          </w:p>
        </w:tc>
      </w:tr>
      <w:tr>
        <w:tc>
          <w:tcPr>
            <w:tcW w:type="dxa" w:w="3371"/>
            <w:shd w:val="clear" w:color="auto" w:fill="F3F6FA"/>
          </w:tcPr>
          <w:p>
            <w:pPr>
              <w:spacing w:after="20" w:line="240" w:lineRule="auto"/>
            </w:pPr>
            <w:r>
              <w:rPr>
                <w:sz w:val="18"/>
              </w:rPr>
              <w:t>Operación en vivo (5-ago a 11-oct)</w:t>
            </w:r>
          </w:p>
        </w:tc>
        <w:tc>
          <w:tcPr>
            <w:tcW w:type="dxa" w:w="2087"/>
            <w:shd w:val="clear" w:color="auto" w:fill="F3F6FA"/>
          </w:tcPr>
          <w:p>
            <w:pPr>
              <w:spacing w:after="20" w:line="240" w:lineRule="auto"/>
            </w:pPr>
            <w:r>
              <w:rPr>
                <w:sz w:val="18"/>
              </w:rPr>
              <w:t>MAE 47,8 COP/kWh</w:t>
            </w:r>
          </w:p>
        </w:tc>
        <w:tc>
          <w:tcPr>
            <w:tcW w:type="dxa" w:w="4174"/>
            <w:shd w:val="clear" w:color="auto" w:fill="F3F6FA"/>
          </w:tcPr>
          <w:p>
            <w:pPr>
              <w:spacing w:after="20" w:line="240" w:lineRule="auto"/>
            </w:pPr>
            <w:r>
              <w:rPr>
                <w:sz w:val="18"/>
              </w:rPr>
              <w:t>predespacho 49,4; incluye el cambio de reglas de sep-2026</w:t>
            </w:r>
          </w:p>
        </w:tc>
      </w:tr>
      <w:tr>
        <w:tc>
          <w:tcPr>
            <w:tcW w:type="dxa" w:w="3371"/>
          </w:tcPr>
          <w:p>
            <w:pPr>
              <w:spacing w:after="20" w:line="240" w:lineRule="auto"/>
            </w:pPr>
            <w:r>
              <w:rPr>
                <w:sz w:val="18"/>
              </w:rPr>
              <w:t>Validación histórica (5 años, 2020-2025)</w:t>
            </w:r>
          </w:p>
        </w:tc>
        <w:tc>
          <w:tcPr>
            <w:tcW w:type="dxa" w:w="2087"/>
          </w:tcPr>
          <w:p>
            <w:pPr>
              <w:spacing w:after="20" w:line="240" w:lineRule="auto"/>
            </w:pPr>
            <w:r>
              <w:rPr>
                <w:sz w:val="18"/>
              </w:rPr>
              <w:t>gana al predespacho en 5 de 5</w:t>
            </w:r>
          </w:p>
        </w:tc>
        <w:tc>
          <w:tcPr>
            <w:tcW w:type="dxa" w:w="4174"/>
          </w:tcPr>
          <w:p>
            <w:pPr>
              <w:spacing w:after="20" w:line="240" w:lineRule="auto"/>
            </w:pPr>
            <w:r>
              <w:rPr>
                <w:sz w:val="18"/>
              </w:rPr>
              <w:t>y a la versión simple en 3 de 5 (empata en 2)</w:t>
            </w:r>
          </w:p>
        </w:tc>
      </w:tr>
    </w:tbl>
    <w:p>
      <w:r>
        <w:rPr>
          <w:color w:val="595959"/>
          <w:sz w:val="17"/>
        </w:rPr>
        <w:t>COP/kWh: pesos colombianos por kilovatio-hora. DM: estadístico de Diebold-Mariano (sección 7); valores por encima de 2 indican una diferencia significativa.</w:t>
      </w:r>
    </w:p>
    <w:p>
      <w:pPr>
        <w:keepNext/>
        <w:jc w:val="center"/>
      </w:pPr>
      <w:r>
        <w:drawing>
          <wp:inline xmlns:a="http://schemas.openxmlformats.org/drawingml/2006/main" xmlns:pic="http://schemas.openxmlformats.org/drawingml/2006/picture">
            <wp:extent cx="5580000" cy="4264391"/>
            <wp:docPr id="1" name="Picture 1"/>
            <wp:cNvGraphicFramePr>
              <a:graphicFrameLocks noChangeAspect="1"/>
            </wp:cNvGraphicFramePr>
            <a:graphic>
              <a:graphicData uri="http://schemas.openxmlformats.org/drawingml/2006/picture">
                <pic:pic>
                  <pic:nvPicPr>
                    <pic:cNvPr id="0" name="diagrama_bloques.png"/>
                    <pic:cNvPicPr/>
                  </pic:nvPicPr>
                  <pic:blipFill>
                    <a:blip r:embed="rId9"/>
                    <a:stretch>
                      <a:fillRect/>
                    </a:stretch>
                  </pic:blipFill>
                  <pic:spPr>
                    <a:xfrm>
                      <a:off x="0" y="0"/>
                      <a:ext cx="5580000" cy="4264391"/>
                    </a:xfrm>
                    <a:prstGeom prst="rect"/>
                  </pic:spPr>
                </pic:pic>
              </a:graphicData>
            </a:graphic>
          </wp:inline>
        </w:drawing>
      </w:r>
    </w:p>
    <w:p>
      <w:pPr>
        <w:jc w:val="center"/>
      </w:pPr>
      <w:r>
        <w:rPr>
          <w:color w:val="595959"/>
          <w:sz w:val="18"/>
        </w:rPr>
        <w:t>Figura 1. Arquitectura de Augur: datos (OE1), pronóstico (OE2) y decisión y validación (OE3/OE4).</w:t>
      </w:r>
    </w:p>
    <w:p>
      <w:pPr>
        <w:pStyle w:val="Heading1"/>
      </w:pPr>
      <w:r>
        <w:t>2. El mercado y qué se pronostica</w:t>
      </w:r>
    </w:p>
    <w:p>
      <w:pPr>
        <w:pStyle w:val="Heading2"/>
      </w:pPr>
      <w:r>
        <w:t>2.1 Cómo se forma el precio de bolsa</w:t>
      </w:r>
    </w:p>
    <w:p>
      <w:pPr>
        <w:jc w:val="both"/>
      </w:pPr>
      <w:r>
        <w:t xml:space="preserve">En el mercado mayorista colombiano cada generador ofrece, antes de las 08:00 del día anterior, </w:t>
      </w:r>
      <w:r>
        <w:rPr>
          <w:b/>
        </w:rPr>
        <w:t>un único precio para las 24 horas</w:t>
      </w:r>
      <w:r>
        <w:t xml:space="preserve"> del día siguiente y su disponibilidad hora a hora. Con esas ofertas, XM (el operador del sistema y administrador del mercado) arma el despacho: ordena las plantas de la más barata a la más cara hasta cubrir la demanda. Hay dos despachos que importan para Augur:</w:t>
      </w:r>
    </w:p>
    <w:p>
      <w:pPr>
        <w:pStyle w:val="ListBullet"/>
        <w:spacing w:after="60"/>
      </w:pPr>
      <w:r>
        <w:rPr>
          <w:b/>
        </w:rPr>
        <w:t>Predespacho ideal (antes):</w:t>
      </w:r>
      <w:r>
        <w:t xml:space="preserve"> XM lo publica el día anterior hacia las 10:30. Es el despacho sin restricciones de la red con la demanda pronosticada; su costo marginal por hora es la mejor estimación pública del precio.</w:t>
      </w:r>
    </w:p>
    <w:p>
      <w:pPr>
        <w:pStyle w:val="ListBullet"/>
        <w:spacing w:after="60"/>
      </w:pPr>
      <w:r>
        <w:rPr>
          <w:b/>
        </w:rPr>
        <w:t>Despacho ideal (después):</w:t>
      </w:r>
      <w:r>
        <w:t xml:space="preserve"> se calcula ex post con la demanda real. El precio de bolsa de cada hora es el </w:t>
      </w:r>
      <w:r>
        <w:rPr>
          <w:b/>
        </w:rPr>
        <w:t>máximo precio de oferta (MPO)</w:t>
      </w:r>
      <w:r>
        <w:t xml:space="preserve"> de las plantas despachadas en ese despacho ideal, más un componente adicional (ΔI) que reconoce costos de arranque y parada.</w:t>
      </w:r>
    </w:p>
    <w:p>
      <w:pPr>
        <w:jc w:val="both"/>
      </w:pPr>
      <w:r>
        <w:t>Por eso el predespacho y el precio real difieren: la demanda real no es la pronosticada, la hidrología cambia y las plantas fallan. Esa diferencia es exactamente lo que Augur aprende a corregir.</w:t>
      </w:r>
    </w:p>
    <w:p>
      <w:pPr>
        <w:pStyle w:val="Heading2"/>
      </w:pPr>
      <w:r>
        <w:t>2.2 Versiones del precio y cuál usamos</w:t>
      </w:r>
    </w:p>
    <w:p>
      <w:pPr>
        <w:keepNext/>
        <w:spacing w:after="60"/>
      </w:pPr>
      <w:r>
        <w:rPr>
          <w:b/>
          <w:color w:val="1F4E79"/>
          <w:sz w:val="20"/>
        </w:rPr>
        <w:t>Tabla 2. Versiones de liquidación del precio (XM)</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124"/>
            <w:shd w:val="clear" w:color="auto" w:fill="1F4E79"/>
          </w:tcPr>
          <w:p>
            <w:pPr>
              <w:spacing w:after="20" w:line="240" w:lineRule="auto"/>
            </w:pPr>
            <w:r>
              <w:rPr>
                <w:b/>
                <w:color w:val="FFFFFF"/>
                <w:sz w:val="18"/>
              </w:rPr>
              <w:t>Versión</w:t>
            </w:r>
          </w:p>
        </w:tc>
        <w:tc>
          <w:tcPr>
            <w:tcW w:type="dxa" w:w="2890"/>
            <w:shd w:val="clear" w:color="auto" w:fill="1F4E79"/>
          </w:tcPr>
          <w:p>
            <w:pPr>
              <w:spacing w:after="20" w:line="240" w:lineRule="auto"/>
            </w:pPr>
            <w:r>
              <w:rPr>
                <w:b/>
                <w:color w:val="FFFFFF"/>
                <w:sz w:val="18"/>
              </w:rPr>
              <w:t>Cuándo se publica</w:t>
            </w:r>
          </w:p>
        </w:tc>
        <w:tc>
          <w:tcPr>
            <w:tcW w:type="dxa" w:w="5619"/>
            <w:shd w:val="clear" w:color="auto" w:fill="1F4E79"/>
          </w:tcPr>
          <w:p>
            <w:pPr>
              <w:spacing w:after="20" w:line="240" w:lineRule="auto"/>
            </w:pPr>
            <w:r>
              <w:rPr>
                <w:b/>
                <w:color w:val="FFFFFF"/>
                <w:sz w:val="18"/>
              </w:rPr>
              <w:t>Qué es</w:t>
            </w:r>
          </w:p>
        </w:tc>
      </w:tr>
      <w:tr>
        <w:tc>
          <w:tcPr>
            <w:tcW w:type="dxa" w:w="1124"/>
          </w:tcPr>
          <w:p>
            <w:pPr>
              <w:spacing w:after="20" w:line="240" w:lineRule="auto"/>
            </w:pPr>
            <w:r>
              <w:rPr>
                <w:sz w:val="18"/>
              </w:rPr>
              <w:t>TX1</w:t>
            </w:r>
          </w:p>
        </w:tc>
        <w:tc>
          <w:tcPr>
            <w:tcW w:type="dxa" w:w="2890"/>
          </w:tcPr>
          <w:p>
            <w:pPr>
              <w:spacing w:after="20" w:line="240" w:lineRule="auto"/>
            </w:pPr>
            <w:r>
              <w:rPr>
                <w:sz w:val="18"/>
              </w:rPr>
              <w:t>hacia D+2</w:t>
            </w:r>
          </w:p>
        </w:tc>
        <w:tc>
          <w:tcPr>
            <w:tcW w:type="dxa" w:w="5619"/>
          </w:tcPr>
          <w:p>
            <w:pPr>
              <w:spacing w:after="20" w:line="240" w:lineRule="auto"/>
            </w:pPr>
            <w:r>
              <w:rPr>
                <w:sz w:val="18"/>
              </w:rPr>
              <w:t>primera liquidación del día; es la que alimenta la API pública</w:t>
            </w:r>
          </w:p>
        </w:tc>
      </w:tr>
      <w:tr>
        <w:tc>
          <w:tcPr>
            <w:tcW w:type="dxa" w:w="1124"/>
            <w:shd w:val="clear" w:color="auto" w:fill="F3F6FA"/>
          </w:tcPr>
          <w:p>
            <w:pPr>
              <w:spacing w:after="20" w:line="240" w:lineRule="auto"/>
            </w:pPr>
            <w:r>
              <w:rPr>
                <w:sz w:val="18"/>
              </w:rPr>
              <w:t>TX2</w:t>
            </w:r>
          </w:p>
        </w:tc>
        <w:tc>
          <w:tcPr>
            <w:tcW w:type="dxa" w:w="2890"/>
            <w:shd w:val="clear" w:color="auto" w:fill="F3F6FA"/>
          </w:tcPr>
          <w:p>
            <w:pPr>
              <w:spacing w:after="20" w:line="240" w:lineRule="auto"/>
            </w:pPr>
            <w:r>
              <w:rPr>
                <w:sz w:val="18"/>
              </w:rPr>
              <w:t>hacia D+5</w:t>
            </w:r>
          </w:p>
        </w:tc>
        <w:tc>
          <w:tcPr>
            <w:tcW w:type="dxa" w:w="5619"/>
            <w:shd w:val="clear" w:color="auto" w:fill="F3F6FA"/>
          </w:tcPr>
          <w:p>
            <w:pPr>
              <w:spacing w:after="20" w:line="240" w:lineRule="auto"/>
            </w:pPr>
            <w:r>
              <w:rPr>
                <w:sz w:val="18"/>
              </w:rPr>
              <w:t>corrige la TX1 con medidas revisadas</w:t>
            </w:r>
          </w:p>
        </w:tc>
      </w:tr>
      <w:tr>
        <w:tc>
          <w:tcPr>
            <w:tcW w:type="dxa" w:w="1124"/>
          </w:tcPr>
          <w:p>
            <w:pPr>
              <w:spacing w:after="20" w:line="240" w:lineRule="auto"/>
            </w:pPr>
            <w:r>
              <w:rPr>
                <w:sz w:val="18"/>
              </w:rPr>
              <w:t>TXR</w:t>
            </w:r>
          </w:p>
        </w:tc>
        <w:tc>
          <w:tcPr>
            <w:tcW w:type="dxa" w:w="2890"/>
          </w:tcPr>
          <w:p>
            <w:pPr>
              <w:spacing w:after="20" w:line="240" w:lineRule="auto"/>
            </w:pPr>
            <w:r>
              <w:rPr>
                <w:sz w:val="18"/>
              </w:rPr>
              <w:t>días 1 a 5 del mes siguiente</w:t>
            </w:r>
          </w:p>
        </w:tc>
        <w:tc>
          <w:tcPr>
            <w:tcW w:type="dxa" w:w="5619"/>
          </w:tcPr>
          <w:p>
            <w:pPr>
              <w:spacing w:after="20" w:line="240" w:lineRule="auto"/>
            </w:pPr>
            <w:r>
              <w:rPr>
                <w:sz w:val="18"/>
              </w:rPr>
              <w:t>reliquidación mensual</w:t>
            </w:r>
          </w:p>
        </w:tc>
      </w:tr>
      <w:tr>
        <w:tc>
          <w:tcPr>
            <w:tcW w:type="dxa" w:w="1124"/>
            <w:shd w:val="clear" w:color="auto" w:fill="F3F6FA"/>
          </w:tcPr>
          <w:p>
            <w:pPr>
              <w:spacing w:after="20" w:line="240" w:lineRule="auto"/>
            </w:pPr>
            <w:r>
              <w:rPr>
                <w:sz w:val="18"/>
              </w:rPr>
              <w:t>TXF</w:t>
            </w:r>
          </w:p>
        </w:tc>
        <w:tc>
          <w:tcPr>
            <w:tcW w:type="dxa" w:w="2890"/>
            <w:shd w:val="clear" w:color="auto" w:fill="F3F6FA"/>
          </w:tcPr>
          <w:p>
            <w:pPr>
              <w:spacing w:after="20" w:line="240" w:lineRule="auto"/>
            </w:pPr>
            <w:r>
              <w:rPr>
                <w:sz w:val="18"/>
              </w:rPr>
              <w:t>hacia el día 10 del mes siguiente</w:t>
            </w:r>
          </w:p>
        </w:tc>
        <w:tc>
          <w:tcPr>
            <w:tcW w:type="dxa" w:w="5619"/>
            <w:shd w:val="clear" w:color="auto" w:fill="F3F6FA"/>
          </w:tcPr>
          <w:p>
            <w:pPr>
              <w:spacing w:after="20" w:line="240" w:lineRule="auto"/>
            </w:pPr>
            <w:r>
              <w:rPr>
                <w:sz w:val="18"/>
              </w:rPr>
              <w:t>versión final</w:t>
            </w:r>
          </w:p>
        </w:tc>
      </w:tr>
    </w:tbl>
    <w:p>
      <w:pPr>
        <w:spacing w:after="0"/>
      </w:pPr>
    </w:p>
    <w:p>
      <w:pPr>
        <w:jc w:val="both"/>
      </w:pPr>
      <w:r>
        <w:t xml:space="preserve">Augur pronostica el </w:t>
      </w:r>
      <w:r>
        <w:rPr>
          <w:b/>
        </w:rPr>
        <w:t>precio de bolsa nacional (PBN)</w:t>
      </w:r>
      <w:r>
        <w:t xml:space="preserve"> tal como lo publica la API de XM. Como la TX1 sale hacia D+2 y el sistema público la refleja con algo más de rezago, </w:t>
      </w:r>
      <w:r>
        <w:rPr>
          <w:b/>
        </w:rPr>
        <w:t>al corte del día D el último precio conocido es el de las 23:00 de D-4</w:t>
      </w:r>
      <w:r>
        <w:t>. No hay forma pública de tener el precio de ayer.</w:t>
      </w:r>
    </w:p>
    <w:p>
      <w:pPr>
        <w:pStyle w:val="Heading2"/>
      </w:pPr>
      <w:r>
        <w:t>2.3 Reglas que cambiaron en 2026</w:t>
      </w:r>
    </w:p>
    <w:p>
      <w:pPr>
        <w:pStyle w:val="ListBullet"/>
        <w:spacing w:after="60"/>
      </w:pPr>
      <w:r>
        <w:rPr>
          <w:b/>
        </w:rPr>
        <w:t>Precio de transacciones en bolsa (PTB) frente a PBN.</w:t>
      </w:r>
      <w:r>
        <w:t xml:space="preserve"> Desde la Resolución CREG 101 066 de 2024 hay tres precios de escasez y el precio con que se liquidan las transacciones (PTB) puede quedar por debajo del PBN. En 2026 eso pasó en 360 horas. Augur pronostica el PBN; quien liquide al PTB debe tenerlo en cuenta.</w:t>
      </w:r>
    </w:p>
    <w:p>
      <w:pPr>
        <w:pStyle w:val="ListBullet"/>
        <w:spacing w:after="60"/>
      </w:pPr>
      <w:r>
        <w:rPr>
          <w:b/>
        </w:rPr>
        <w:t>Resolución CREG 101 127 de 2026</w:t>
      </w:r>
      <w:r>
        <w:t xml:space="preserve"> (medidas ante El Niño, activada el 9 de septiembre de 2026 y vigente hasta mayo de 2027): despacho térmico mínimo obligatorio y una curva de referencia para las ofertas hidráulicas ligada al precio de escasez. Cambió la forma en que se forma el precio justo dentro del periodo de operación, y es la causa regulatoria más probable del aumento del error en septiembre y octubre (sección 9.5).</w:t>
      </w:r>
    </w:p>
    <w:p>
      <w:pPr>
        <w:pStyle w:val="Heading1"/>
      </w:pPr>
      <w:r>
        <w:t>3. Datos e información disponible al corte</w:t>
      </w:r>
    </w:p>
    <w:p>
      <w:pPr>
        <w:jc w:val="both"/>
      </w:pPr>
      <w:r>
        <w:t xml:space="preserve">El corte es las </w:t>
      </w:r>
      <w:r>
        <w:rPr>
          <w:b/>
        </w:rPr>
        <w:t>00:00 del día D</w:t>
      </w:r>
      <w:r>
        <w:t>, y la ventana pronosticada va de la 01:00 de D a las 00:00 de D+1 (24 horas). Cada fuente entra al modelo solo con lo que ya estaba publicado a esa hora; esta regla se verificó midiendo la hora real de publicación en la API y en la biblioteca del portal de XM.</w:t>
      </w:r>
    </w:p>
    <w:p>
      <w:pPr>
        <w:keepNext/>
        <w:spacing w:after="60"/>
      </w:pPr>
      <w:r>
        <w:rPr>
          <w:b/>
          <w:color w:val="1F4E79"/>
          <w:sz w:val="20"/>
        </w:rPr>
        <w:t>Tabla 3. Fuentes de datos y su disponibilidad</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003"/>
            <w:shd w:val="clear" w:color="auto" w:fill="1F4E79"/>
          </w:tcPr>
          <w:p>
            <w:pPr>
              <w:spacing w:after="20" w:line="240" w:lineRule="auto"/>
            </w:pPr>
            <w:r>
              <w:rPr>
                <w:b/>
                <w:color w:val="FFFFFF"/>
                <w:sz w:val="18"/>
              </w:rPr>
              <w:t>Fuente</w:t>
            </w:r>
          </w:p>
        </w:tc>
        <w:tc>
          <w:tcPr>
            <w:tcW w:type="dxa" w:w="3236"/>
            <w:shd w:val="clear" w:color="auto" w:fill="1F4E79"/>
          </w:tcPr>
          <w:p>
            <w:pPr>
              <w:spacing w:after="20" w:line="240" w:lineRule="auto"/>
            </w:pPr>
            <w:r>
              <w:rPr>
                <w:b/>
                <w:color w:val="FFFFFF"/>
                <w:sz w:val="18"/>
              </w:rPr>
              <w:t>Variables</w:t>
            </w:r>
          </w:p>
        </w:tc>
        <w:tc>
          <w:tcPr>
            <w:tcW w:type="dxa" w:w="1618"/>
            <w:shd w:val="clear" w:color="auto" w:fill="1F4E79"/>
          </w:tcPr>
          <w:p>
            <w:pPr>
              <w:spacing w:after="20" w:line="240" w:lineRule="auto"/>
            </w:pPr>
            <w:r>
              <w:rPr>
                <w:b/>
                <w:color w:val="FFFFFF"/>
                <w:sz w:val="18"/>
              </w:rPr>
              <w:t>Resolución</w:t>
            </w:r>
          </w:p>
        </w:tc>
        <w:tc>
          <w:tcPr>
            <w:tcW w:type="dxa" w:w="2774"/>
            <w:shd w:val="clear" w:color="auto" w:fill="1F4E79"/>
          </w:tcPr>
          <w:p>
            <w:pPr>
              <w:spacing w:after="20" w:line="240" w:lineRule="auto"/>
            </w:pPr>
            <w:r>
              <w:rPr>
                <w:b/>
                <w:color w:val="FFFFFF"/>
                <w:sz w:val="18"/>
              </w:rPr>
              <w:t>Disponible al corte</w:t>
            </w:r>
          </w:p>
        </w:tc>
      </w:tr>
      <w:tr>
        <w:tc>
          <w:tcPr>
            <w:tcW w:type="dxa" w:w="2003"/>
          </w:tcPr>
          <w:p>
            <w:pPr>
              <w:spacing w:after="20" w:line="240" w:lineRule="auto"/>
            </w:pPr>
            <w:r>
              <w:rPr>
                <w:sz w:val="18"/>
              </w:rPr>
              <w:t>API de métricas de XM</w:t>
            </w:r>
          </w:p>
        </w:tc>
        <w:tc>
          <w:tcPr>
            <w:tcW w:type="dxa" w:w="3236"/>
          </w:tcPr>
          <w:p>
            <w:pPr>
              <w:spacing w:after="20" w:line="240" w:lineRule="auto"/>
            </w:pPr>
            <w:r>
              <w:rPr>
                <w:sz w:val="18"/>
              </w:rPr>
              <w:t>precio de bolsa, demanda, generación</w:t>
            </w:r>
          </w:p>
        </w:tc>
        <w:tc>
          <w:tcPr>
            <w:tcW w:type="dxa" w:w="1618"/>
          </w:tcPr>
          <w:p>
            <w:pPr>
              <w:spacing w:after="20" w:line="240" w:lineRule="auto"/>
            </w:pPr>
            <w:r>
              <w:rPr>
                <w:sz w:val="18"/>
              </w:rPr>
              <w:t>horaria</w:t>
            </w:r>
          </w:p>
        </w:tc>
        <w:tc>
          <w:tcPr>
            <w:tcW w:type="dxa" w:w="2774"/>
          </w:tcPr>
          <w:p>
            <w:pPr>
              <w:spacing w:after="20" w:line="240" w:lineRule="auto"/>
            </w:pPr>
            <w:r>
              <w:rPr>
                <w:sz w:val="18"/>
              </w:rPr>
              <w:t>hasta 23:00 de D-4 (~3 días de rezago)</w:t>
            </w:r>
          </w:p>
        </w:tc>
      </w:tr>
      <w:tr>
        <w:tc>
          <w:tcPr>
            <w:tcW w:type="dxa" w:w="2003"/>
            <w:shd w:val="clear" w:color="auto" w:fill="F3F6FA"/>
          </w:tcPr>
          <w:p>
            <w:pPr>
              <w:spacing w:after="20" w:line="240" w:lineRule="auto"/>
            </w:pPr>
            <w:r>
              <w:rPr>
                <w:sz w:val="18"/>
              </w:rPr>
              <w:t>API de métricas de XM</w:t>
            </w:r>
          </w:p>
        </w:tc>
        <w:tc>
          <w:tcPr>
            <w:tcW w:type="dxa" w:w="3236"/>
            <w:shd w:val="clear" w:color="auto" w:fill="F3F6FA"/>
          </w:tcPr>
          <w:p>
            <w:pPr>
              <w:spacing w:after="20" w:line="240" w:lineRule="auto"/>
            </w:pPr>
            <w:r>
              <w:rPr>
                <w:sz w:val="18"/>
              </w:rPr>
              <w:t>volumen útil de embalses, aportes hídricos</w:t>
            </w:r>
          </w:p>
        </w:tc>
        <w:tc>
          <w:tcPr>
            <w:tcW w:type="dxa" w:w="1618"/>
            <w:shd w:val="clear" w:color="auto" w:fill="F3F6FA"/>
          </w:tcPr>
          <w:p>
            <w:pPr>
              <w:spacing w:after="20" w:line="240" w:lineRule="auto"/>
            </w:pPr>
            <w:r>
              <w:rPr>
                <w:sz w:val="18"/>
              </w:rPr>
              <w:t>diaria</w:t>
            </w:r>
          </w:p>
        </w:tc>
        <w:tc>
          <w:tcPr>
            <w:tcW w:type="dxa" w:w="2774"/>
            <w:shd w:val="clear" w:color="auto" w:fill="F3F6FA"/>
          </w:tcPr>
          <w:p>
            <w:pPr>
              <w:spacing w:after="20" w:line="240" w:lineRule="auto"/>
            </w:pPr>
            <w:r>
              <w:rPr>
                <w:sz w:val="18"/>
              </w:rPr>
              <w:t>valor de D-2</w:t>
            </w:r>
          </w:p>
        </w:tc>
      </w:tr>
      <w:tr>
        <w:tc>
          <w:tcPr>
            <w:tcW w:type="dxa" w:w="2003"/>
          </w:tcPr>
          <w:p>
            <w:pPr>
              <w:spacing w:after="20" w:line="240" w:lineRule="auto"/>
            </w:pPr>
            <w:r>
              <w:rPr>
                <w:sz w:val="18"/>
              </w:rPr>
              <w:t>NOAA (CPC)</w:t>
            </w:r>
          </w:p>
        </w:tc>
        <w:tc>
          <w:tcPr>
            <w:tcW w:type="dxa" w:w="3236"/>
          </w:tcPr>
          <w:p>
            <w:pPr>
              <w:spacing w:after="20" w:line="240" w:lineRule="auto"/>
            </w:pPr>
            <w:r>
              <w:rPr>
                <w:sz w:val="18"/>
              </w:rPr>
              <w:t>índice ONI de El Niño / La Niña</w:t>
            </w:r>
          </w:p>
        </w:tc>
        <w:tc>
          <w:tcPr>
            <w:tcW w:type="dxa" w:w="1618"/>
          </w:tcPr>
          <w:p>
            <w:pPr>
              <w:spacing w:after="20" w:line="240" w:lineRule="auto"/>
            </w:pPr>
            <w:r>
              <w:rPr>
                <w:sz w:val="18"/>
              </w:rPr>
              <w:t>mensual (trimestre móvil)</w:t>
            </w:r>
          </w:p>
        </w:tc>
        <w:tc>
          <w:tcPr>
            <w:tcW w:type="dxa" w:w="2774"/>
          </w:tcPr>
          <w:p>
            <w:pPr>
              <w:spacing w:after="20" w:line="240" w:lineRule="auto"/>
            </w:pPr>
            <w:r>
              <w:rPr>
                <w:sz w:val="18"/>
              </w:rPr>
              <w:t>valor de M-2</w:t>
            </w:r>
          </w:p>
        </w:tc>
      </w:tr>
      <w:tr>
        <w:tc>
          <w:tcPr>
            <w:tcW w:type="dxa" w:w="2003"/>
            <w:shd w:val="clear" w:color="auto" w:fill="F3F6FA"/>
          </w:tcPr>
          <w:p>
            <w:pPr>
              <w:spacing w:after="20" w:line="240" w:lineRule="auto"/>
            </w:pPr>
            <w:r>
              <w:rPr>
                <w:sz w:val="18"/>
              </w:rPr>
              <w:t>Portal de XM (iMAR)</w:t>
            </w:r>
          </w:p>
        </w:tc>
        <w:tc>
          <w:tcPr>
            <w:tcW w:type="dxa" w:w="3236"/>
            <w:shd w:val="clear" w:color="auto" w:fill="F3F6FA"/>
          </w:tcPr>
          <w:p>
            <w:pPr>
              <w:spacing w:after="20" w:line="240" w:lineRule="auto"/>
            </w:pPr>
            <w:r>
              <w:rPr>
                <w:sz w:val="18"/>
              </w:rPr>
              <w:t>predespacho ideal: costo marginal por hora</w:t>
            </w:r>
          </w:p>
        </w:tc>
        <w:tc>
          <w:tcPr>
            <w:tcW w:type="dxa" w:w="1618"/>
            <w:shd w:val="clear" w:color="auto" w:fill="F3F6FA"/>
          </w:tcPr>
          <w:p>
            <w:pPr>
              <w:spacing w:after="20" w:line="240" w:lineRule="auto"/>
            </w:pPr>
            <w:r>
              <w:rPr>
                <w:sz w:val="18"/>
              </w:rPr>
              <w:t>horaria</w:t>
            </w:r>
          </w:p>
        </w:tc>
        <w:tc>
          <w:tcPr>
            <w:tcW w:type="dxa" w:w="2774"/>
            <w:shd w:val="clear" w:color="auto" w:fill="F3F6FA"/>
          </w:tcPr>
          <w:p>
            <w:pPr>
              <w:spacing w:after="20" w:line="240" w:lineRule="auto"/>
            </w:pPr>
            <w:r>
              <w:rPr>
                <w:sz w:val="18"/>
              </w:rPr>
              <w:t>el de D, publicado D-1 ~10:30</w:t>
            </w:r>
          </w:p>
        </w:tc>
      </w:tr>
      <w:tr>
        <w:tc>
          <w:tcPr>
            <w:tcW w:type="dxa" w:w="2003"/>
          </w:tcPr>
          <w:p>
            <w:pPr>
              <w:spacing w:after="20" w:line="240" w:lineRule="auto"/>
            </w:pPr>
            <w:r>
              <w:rPr>
                <w:sz w:val="18"/>
              </w:rPr>
              <w:t>Portal de XM (dMAR, dDEM)</w:t>
            </w:r>
          </w:p>
        </w:tc>
        <w:tc>
          <w:tcPr>
            <w:tcW w:type="dxa" w:w="3236"/>
          </w:tcPr>
          <w:p>
            <w:pPr>
              <w:spacing w:after="20" w:line="240" w:lineRule="auto"/>
            </w:pPr>
            <w:r>
              <w:rPr>
                <w:sz w:val="18"/>
              </w:rPr>
              <w:t>costo marginal y demanda del despacho programado</w:t>
            </w:r>
          </w:p>
        </w:tc>
        <w:tc>
          <w:tcPr>
            <w:tcW w:type="dxa" w:w="1618"/>
          </w:tcPr>
          <w:p>
            <w:pPr>
              <w:spacing w:after="20" w:line="240" w:lineRule="auto"/>
            </w:pPr>
            <w:r>
              <w:rPr>
                <w:sz w:val="18"/>
              </w:rPr>
              <w:t>horaria</w:t>
            </w:r>
          </w:p>
        </w:tc>
        <w:tc>
          <w:tcPr>
            <w:tcW w:type="dxa" w:w="2774"/>
          </w:tcPr>
          <w:p>
            <w:pPr>
              <w:spacing w:after="20" w:line="240" w:lineRule="auto"/>
            </w:pPr>
            <w:r>
              <w:rPr>
                <w:sz w:val="18"/>
              </w:rPr>
              <w:t>el de D, publicado D-1 ~14:30*</w:t>
            </w:r>
          </w:p>
        </w:tc>
      </w:tr>
      <w:tr>
        <w:tc>
          <w:tcPr>
            <w:tcW w:type="dxa" w:w="2003"/>
            <w:shd w:val="clear" w:color="auto" w:fill="F3F6FA"/>
          </w:tcPr>
          <w:p>
            <w:pPr>
              <w:spacing w:after="20" w:line="240" w:lineRule="auto"/>
            </w:pPr>
            <w:r>
              <w:rPr>
                <w:sz w:val="18"/>
              </w:rPr>
              <w:t>Calendario</w:t>
            </w:r>
          </w:p>
        </w:tc>
        <w:tc>
          <w:tcPr>
            <w:tcW w:type="dxa" w:w="3236"/>
            <w:shd w:val="clear" w:color="auto" w:fill="F3F6FA"/>
          </w:tcPr>
          <w:p>
            <w:pPr>
              <w:spacing w:after="20" w:line="240" w:lineRule="auto"/>
            </w:pPr>
            <w:r>
              <w:rPr>
                <w:sz w:val="18"/>
              </w:rPr>
              <w:t>hora, día de la semana, día del año, festivos de Colombia</w:t>
            </w:r>
          </w:p>
        </w:tc>
        <w:tc>
          <w:tcPr>
            <w:tcW w:type="dxa" w:w="1618"/>
            <w:shd w:val="clear" w:color="auto" w:fill="F3F6FA"/>
          </w:tcPr>
          <w:p>
            <w:pPr>
              <w:spacing w:after="20" w:line="240" w:lineRule="auto"/>
            </w:pPr>
            <w:r>
              <w:rPr>
                <w:sz w:val="18"/>
              </w:rPr>
              <w:t>horaria</w:t>
            </w:r>
          </w:p>
        </w:tc>
        <w:tc>
          <w:tcPr>
            <w:tcW w:type="dxa" w:w="2774"/>
            <w:shd w:val="clear" w:color="auto" w:fill="F3F6FA"/>
          </w:tcPr>
          <w:p>
            <w:pPr>
              <w:spacing w:after="20" w:line="240" w:lineRule="auto"/>
            </w:pPr>
            <w:r>
              <w:rPr>
                <w:sz w:val="18"/>
              </w:rPr>
              <w:t>conocido de antemano</w:t>
            </w:r>
          </w:p>
        </w:tc>
      </w:tr>
    </w:tbl>
    <w:p>
      <w:r>
        <w:rPr>
          <w:i/>
          <w:color w:val="595959"/>
          <w:sz w:val="17"/>
        </w:rPr>
        <w:t>Si a la hora de la corrida aún no está el despacho programado, se usa el del día anterior, igual que en el entrenamiento. Las ofertas de precio de los generadores (OFEI) no se usan: XM agrega los precios al mes siguiente, así que usarlas sería fuga de información</w:t>
      </w:r>
    </w:p>
    <w:p>
      <w:pPr>
        <w:keepNext/>
        <w:jc w:val="center"/>
      </w:pPr>
      <w:r>
        <w:drawing>
          <wp:inline xmlns:a="http://schemas.openxmlformats.org/drawingml/2006/main" xmlns:pic="http://schemas.openxmlformats.org/drawingml/2006/picture">
            <wp:extent cx="5760000" cy="1958400"/>
            <wp:docPr id="2" name="Picture 2"/>
            <wp:cNvGraphicFramePr>
              <a:graphicFrameLocks noChangeAspect="1"/>
            </wp:cNvGraphicFramePr>
            <a:graphic>
              <a:graphicData uri="http://schemas.openxmlformats.org/drawingml/2006/picture">
                <pic:pic>
                  <pic:nvPicPr>
                    <pic:cNvPr id="0" name="calendario_publicacion.png"/>
                    <pic:cNvPicPr/>
                  </pic:nvPicPr>
                  <pic:blipFill>
                    <a:blip r:embed="rId10"/>
                    <a:stretch>
                      <a:fillRect/>
                    </a:stretch>
                  </pic:blipFill>
                  <pic:spPr>
                    <a:xfrm>
                      <a:off x="0" y="0"/>
                      <a:ext cx="5760000" cy="1958400"/>
                    </a:xfrm>
                    <a:prstGeom prst="rect"/>
                  </pic:spPr>
                </pic:pic>
              </a:graphicData>
            </a:graphic>
          </wp:inline>
        </w:drawing>
      </w:r>
    </w:p>
    <w:p>
      <w:pPr>
        <w:jc w:val="center"/>
      </w:pPr>
      <w:r>
        <w:rPr>
          <w:color w:val="595959"/>
          <w:sz w:val="18"/>
        </w:rPr>
        <w:t>Figura 2. Qué información existe en el momento del pronóstico (corte a las 00:00 del día D).</w:t>
      </w:r>
    </w:p>
    <w:p>
      <w:pPr>
        <w:jc w:val="both"/>
      </w:pPr>
      <w:r>
        <w:t>Series del proyecto: un dataset maestro horario sincronizado de enero de 2019 a agosto de 2026 (66.576 horas) y una serie de operación que se actualiza todos los días con lo nuevo de XM y NOAA. El año 2026 se reservó como prueba fuera de muestra; 2019-2025 sirve para entrenar y para la validación histórica.</w:t>
      </w:r>
    </w:p>
    <w:p>
      <w:pPr>
        <w:pStyle w:val="Heading1"/>
      </w:pPr>
      <w:r>
        <w:t>4. Variables de entrada (66)</w:t>
      </w:r>
    </w:p>
    <w:p>
      <w:pPr>
        <w:jc w:val="both"/>
      </w:pPr>
      <w:r>
        <w:t xml:space="preserve">Los modelos no predicen el precio directamente sino el </w:t>
      </w:r>
      <w:r>
        <w:rPr>
          <w:b/>
        </w:rPr>
        <w:t>logaritmo de la razón entre el precio y el predespacho</w:t>
      </w:r>
      <w:r>
        <w:t xml:space="preserve">, log(precio / predespacho). Las variables se agrupan en ocho familias. La notación de los conjuntos es la de los modelos: </w:t>
      </w:r>
      <w:r>
        <w:rPr>
          <w:b/>
        </w:rPr>
        <w:t>R</w:t>
      </w:r>
      <w:r>
        <w:t xml:space="preserve"> = realistas (lo público al corte), </w:t>
      </w:r>
      <w:r>
        <w:rPr>
          <w:b/>
        </w:rPr>
        <w:t>P</w:t>
      </w:r>
      <w:r>
        <w:t xml:space="preserve"> = predespacho, </w:t>
      </w:r>
      <w:r>
        <w:rPr>
          <w:b/>
        </w:rPr>
        <w:t>F</w:t>
      </w:r>
      <w:r>
        <w:t xml:space="preserve"> = forma intradía del predespacho, </w:t>
      </w:r>
      <w:r>
        <w:rPr>
          <w:b/>
        </w:rPr>
        <w:t>C</w:t>
      </w:r>
      <w:r>
        <w:t xml:space="preserve"> = despacho programado y </w:t>
      </w:r>
      <w:r>
        <w:rPr>
          <w:b/>
        </w:rPr>
        <w:t>E</w:t>
      </w:r>
      <w:r>
        <w:t xml:space="preserve"> = error reciente del predespacho.</w:t>
      </w:r>
    </w:p>
    <w:p>
      <w:pPr>
        <w:jc w:val="both"/>
      </w:pPr>
      <w:r>
        <w:t xml:space="preserve">Un detalle importante en las variables de precio y demanda: como XM publica con ~3 días de rezago, lo que en el código se llama "hace 24 h" es en realidad </w:t>
      </w:r>
      <w:r>
        <w:rPr>
          <w:b/>
        </w:rPr>
        <w:t>hace 96 h</w:t>
      </w:r>
      <w:r>
        <w:t xml:space="preserve"> (120 h para la hora 00:00, la última de la ventana). Se conservaron los nombres originales del proyecto para no romper el código, pero el valor ya está desplazado.</w:t>
      </w:r>
    </w:p>
    <w:p>
      <w:pPr>
        <w:keepNext/>
        <w:spacing w:after="60"/>
      </w:pPr>
      <w:r>
        <w:rPr>
          <w:b/>
          <w:color w:val="1F4E79"/>
          <w:sz w:val="20"/>
        </w:rPr>
        <w:t>Tabla 4. Hidrología y clima (R) · 14 variables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43"/>
            <w:shd w:val="clear" w:color="auto" w:fill="1F4E79"/>
          </w:tcPr>
          <w:p>
            <w:pPr>
              <w:spacing w:after="20" w:line="240" w:lineRule="auto"/>
            </w:pPr>
            <w:r>
              <w:rPr>
                <w:b/>
                <w:color w:val="FFFFFF"/>
                <w:sz w:val="17"/>
              </w:rPr>
              <w:t>Variable</w:t>
            </w:r>
          </w:p>
        </w:tc>
        <w:tc>
          <w:tcPr>
            <w:tcW w:type="dxa" w:w="3545"/>
            <w:shd w:val="clear" w:color="auto" w:fill="1F4E79"/>
          </w:tcPr>
          <w:p>
            <w:pPr>
              <w:spacing w:after="20" w:line="240" w:lineRule="auto"/>
            </w:pPr>
            <w:r>
              <w:rPr>
                <w:b/>
                <w:color w:val="FFFFFF"/>
                <w:sz w:val="17"/>
              </w:rPr>
              <w:t>Definición</w:t>
            </w:r>
          </w:p>
        </w:tc>
        <w:tc>
          <w:tcPr>
            <w:tcW w:type="dxa" w:w="3545"/>
            <w:shd w:val="clear" w:color="auto" w:fill="1F4E79"/>
          </w:tcPr>
          <w:p>
            <w:pPr>
              <w:spacing w:after="20" w:line="240" w:lineRule="auto"/>
            </w:pPr>
            <w:r>
              <w:rPr>
                <w:b/>
                <w:color w:val="FFFFFF"/>
                <w:sz w:val="17"/>
              </w:rPr>
              <w:t>Por qué se incluye</w:t>
            </w:r>
          </w:p>
        </w:tc>
      </w:tr>
      <w:tr>
        <w:tc>
          <w:tcPr>
            <w:tcW w:type="dxa" w:w="2543"/>
          </w:tcPr>
          <w:p>
            <w:pPr>
              <w:spacing w:after="20" w:line="240" w:lineRule="auto"/>
            </w:pPr>
            <w:r>
              <w:rPr>
                <w:sz w:val="17"/>
              </w:rPr>
              <w:t>volumen_embalses</w:t>
            </w:r>
          </w:p>
        </w:tc>
        <w:tc>
          <w:tcPr>
            <w:tcW w:type="dxa" w:w="3545"/>
          </w:tcPr>
          <w:p>
            <w:pPr>
              <w:spacing w:after="20" w:line="240" w:lineRule="auto"/>
            </w:pPr>
            <w:r>
              <w:rPr>
                <w:sz w:val="17"/>
              </w:rPr>
              <w:t>Volumen útil de los embalses del SIN (valor diario de D-2)</w:t>
            </w:r>
          </w:p>
        </w:tc>
        <w:tc>
          <w:tcPr>
            <w:tcW w:type="dxa" w:w="3545"/>
          </w:tcPr>
          <w:p>
            <w:pPr>
              <w:spacing w:after="20" w:line="240" w:lineRule="auto"/>
            </w:pPr>
            <w:r>
              <w:rPr>
                <w:sz w:val="17"/>
              </w:rPr>
              <w:t>El agua guardada es el principal determinante del precio en un sistema hidro-dominado</w:t>
            </w:r>
          </w:p>
        </w:tc>
      </w:tr>
      <w:tr>
        <w:tc>
          <w:tcPr>
            <w:tcW w:type="dxa" w:w="2543"/>
            <w:shd w:val="clear" w:color="auto" w:fill="F3F6FA"/>
          </w:tcPr>
          <w:p>
            <w:pPr>
              <w:spacing w:after="20" w:line="240" w:lineRule="auto"/>
            </w:pPr>
            <w:r>
              <w:rPr>
                <w:sz w:val="17"/>
              </w:rPr>
              <w:t>aportes_hidricos</w:t>
            </w:r>
          </w:p>
        </w:tc>
        <w:tc>
          <w:tcPr>
            <w:tcW w:type="dxa" w:w="3545"/>
            <w:shd w:val="clear" w:color="auto" w:fill="F3F6FA"/>
          </w:tcPr>
          <w:p>
            <w:pPr>
              <w:spacing w:after="20" w:line="240" w:lineRule="auto"/>
            </w:pPr>
            <w:r>
              <w:rPr>
                <w:sz w:val="17"/>
              </w:rPr>
              <w:t>Caudal que llega a los embalses (D-2)</w:t>
            </w:r>
          </w:p>
        </w:tc>
        <w:tc>
          <w:tcPr>
            <w:tcW w:type="dxa" w:w="3545"/>
            <w:shd w:val="clear" w:color="auto" w:fill="F3F6FA"/>
          </w:tcPr>
          <w:p>
            <w:pPr>
              <w:spacing w:after="20" w:line="240" w:lineRule="auto"/>
            </w:pPr>
            <w:r>
              <w:rPr>
                <w:sz w:val="17"/>
              </w:rPr>
              <w:t>Mide si está entrando agua; anticipa la oferta hidráulica</w:t>
            </w:r>
          </w:p>
        </w:tc>
      </w:tr>
      <w:tr>
        <w:tc>
          <w:tcPr>
            <w:tcW w:type="dxa" w:w="2543"/>
          </w:tcPr>
          <w:p>
            <w:pPr>
              <w:spacing w:after="20" w:line="240" w:lineRule="auto"/>
            </w:pPr>
            <w:r>
              <w:rPr>
                <w:sz w:val="17"/>
              </w:rPr>
              <w:t>…_delta_1d, …_delta_7d</w:t>
            </w:r>
          </w:p>
        </w:tc>
        <w:tc>
          <w:tcPr>
            <w:tcW w:type="dxa" w:w="3545"/>
          </w:tcPr>
          <w:p>
            <w:pPr>
              <w:spacing w:after="20" w:line="240" w:lineRule="auto"/>
            </w:pPr>
            <w:r>
              <w:rPr>
                <w:sz w:val="17"/>
              </w:rPr>
              <w:t>Cambio del embalse o de los aportes en 1 y 7 días</w:t>
            </w:r>
          </w:p>
        </w:tc>
        <w:tc>
          <w:tcPr>
            <w:tcW w:type="dxa" w:w="3545"/>
          </w:tcPr>
          <w:p>
            <w:pPr>
              <w:spacing w:after="20" w:line="240" w:lineRule="auto"/>
            </w:pPr>
            <w:r>
              <w:rPr>
                <w:sz w:val="17"/>
              </w:rPr>
              <w:t>Tendencia: un embalse que baja rápido encarece la energía</w:t>
            </w:r>
          </w:p>
        </w:tc>
      </w:tr>
      <w:tr>
        <w:tc>
          <w:tcPr>
            <w:tcW w:type="dxa" w:w="2543"/>
            <w:shd w:val="clear" w:color="auto" w:fill="F3F6FA"/>
          </w:tcPr>
          <w:p>
            <w:pPr>
              <w:spacing w:after="20" w:line="240" w:lineRule="auto"/>
            </w:pPr>
            <w:r>
              <w:rPr>
                <w:sz w:val="17"/>
              </w:rPr>
              <w:t>…_media_7d, …_media_30d</w:t>
            </w:r>
          </w:p>
        </w:tc>
        <w:tc>
          <w:tcPr>
            <w:tcW w:type="dxa" w:w="3545"/>
            <w:shd w:val="clear" w:color="auto" w:fill="F3F6FA"/>
          </w:tcPr>
          <w:p>
            <w:pPr>
              <w:spacing w:after="20" w:line="240" w:lineRule="auto"/>
            </w:pPr>
            <w:r>
              <w:rPr>
                <w:sz w:val="17"/>
              </w:rPr>
              <w:t>Promedio móvil de 7 y 30 días</w:t>
            </w:r>
          </w:p>
        </w:tc>
        <w:tc>
          <w:tcPr>
            <w:tcW w:type="dxa" w:w="3545"/>
            <w:shd w:val="clear" w:color="auto" w:fill="F3F6FA"/>
          </w:tcPr>
          <w:p>
            <w:pPr>
              <w:spacing w:after="20" w:line="240" w:lineRule="auto"/>
            </w:pPr>
            <w:r>
              <w:rPr>
                <w:sz w:val="17"/>
              </w:rPr>
              <w:t>Nivel de referencia sin el ruido diario</w:t>
            </w:r>
          </w:p>
        </w:tc>
      </w:tr>
      <w:tr>
        <w:tc>
          <w:tcPr>
            <w:tcW w:type="dxa" w:w="2543"/>
          </w:tcPr>
          <w:p>
            <w:pPr>
              <w:spacing w:after="20" w:line="240" w:lineRule="auto"/>
            </w:pPr>
            <w:r>
              <w:rPr>
                <w:sz w:val="17"/>
              </w:rPr>
              <w:t>…_vs_media30d</w:t>
            </w:r>
          </w:p>
        </w:tc>
        <w:tc>
          <w:tcPr>
            <w:tcW w:type="dxa" w:w="3545"/>
          </w:tcPr>
          <w:p>
            <w:pPr>
              <w:spacing w:after="20" w:line="240" w:lineRule="auto"/>
            </w:pPr>
            <w:r>
              <w:rPr>
                <w:sz w:val="17"/>
              </w:rPr>
              <w:t>Valor actual / media de 30 días</w:t>
            </w:r>
          </w:p>
        </w:tc>
        <w:tc>
          <w:tcPr>
            <w:tcW w:type="dxa" w:w="3545"/>
          </w:tcPr>
          <w:p>
            <w:pPr>
              <w:spacing w:after="20" w:line="240" w:lineRule="auto"/>
            </w:pPr>
            <w:r>
              <w:rPr>
                <w:sz w:val="17"/>
              </w:rPr>
              <w:t>Si el sistema está más seco o más húmedo que en el último mes</w:t>
            </w:r>
          </w:p>
        </w:tc>
      </w:tr>
      <w:tr>
        <w:tc>
          <w:tcPr>
            <w:tcW w:type="dxa" w:w="2543"/>
            <w:shd w:val="clear" w:color="auto" w:fill="F3F6FA"/>
          </w:tcPr>
          <w:p>
            <w:pPr>
              <w:spacing w:after="20" w:line="240" w:lineRule="auto"/>
            </w:pPr>
            <w:r>
              <w:rPr>
                <w:sz w:val="17"/>
              </w:rPr>
              <w:t>oni</w:t>
            </w:r>
          </w:p>
        </w:tc>
        <w:tc>
          <w:tcPr>
            <w:tcW w:type="dxa" w:w="3545"/>
            <w:shd w:val="clear" w:color="auto" w:fill="F3F6FA"/>
          </w:tcPr>
          <w:p>
            <w:pPr>
              <w:spacing w:after="20" w:line="240" w:lineRule="auto"/>
            </w:pPr>
            <w:r>
              <w:rPr>
                <w:sz w:val="17"/>
              </w:rPr>
              <w:t>Índice Oceánico El Niño (NOAA), valor de hace dos meses</w:t>
            </w:r>
          </w:p>
        </w:tc>
        <w:tc>
          <w:tcPr>
            <w:tcW w:type="dxa" w:w="3545"/>
            <w:shd w:val="clear" w:color="auto" w:fill="F3F6FA"/>
          </w:tcPr>
          <w:p>
            <w:pPr>
              <w:spacing w:after="20" w:line="240" w:lineRule="auto"/>
            </w:pPr>
            <w:r>
              <w:rPr>
                <w:sz w:val="17"/>
              </w:rPr>
              <w:t>El Niño reduce lluvias en Colombia y sube el precio con meses de anticipación</w:t>
            </w:r>
          </w:p>
        </w:tc>
      </w:tr>
      <w:tr>
        <w:tc>
          <w:tcPr>
            <w:tcW w:type="dxa" w:w="2543"/>
          </w:tcPr>
          <w:p>
            <w:pPr>
              <w:spacing w:after="20" w:line="240" w:lineRule="auto"/>
            </w:pPr>
            <w:r>
              <w:rPr>
                <w:sz w:val="17"/>
              </w:rPr>
              <w:t>es_pandemia</w:t>
            </w:r>
          </w:p>
        </w:tc>
        <w:tc>
          <w:tcPr>
            <w:tcW w:type="dxa" w:w="3545"/>
          </w:tcPr>
          <w:p>
            <w:pPr>
              <w:spacing w:after="20" w:line="240" w:lineRule="auto"/>
            </w:pPr>
            <w:r>
              <w:rPr>
                <w:sz w:val="17"/>
              </w:rPr>
              <w:t>1 en el periodo de restricciones COVID-19 (2020)</w:t>
            </w:r>
          </w:p>
        </w:tc>
        <w:tc>
          <w:tcPr>
            <w:tcW w:type="dxa" w:w="3545"/>
          </w:tcPr>
          <w:p>
            <w:pPr>
              <w:spacing w:after="20" w:line="240" w:lineRule="auto"/>
            </w:pPr>
            <w:r>
              <w:rPr>
                <w:sz w:val="17"/>
              </w:rPr>
              <w:t>Aísla la caída atípica de la demanda</w:t>
            </w:r>
          </w:p>
        </w:tc>
      </w:tr>
    </w:tbl>
    <w:p>
      <w:pPr>
        <w:spacing w:after="0"/>
      </w:pPr>
    </w:p>
    <w:p>
      <w:pPr>
        <w:keepNext/>
        <w:spacing w:after="60"/>
      </w:pPr>
      <w:r>
        <w:rPr>
          <w:b/>
          <w:color w:val="1F4E79"/>
          <w:sz w:val="20"/>
        </w:rPr>
        <w:t>Tabla 5. Precio pasado (R) · 9 variables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43"/>
            <w:shd w:val="clear" w:color="auto" w:fill="1F4E79"/>
          </w:tcPr>
          <w:p>
            <w:pPr>
              <w:spacing w:after="20" w:line="240" w:lineRule="auto"/>
            </w:pPr>
            <w:r>
              <w:rPr>
                <w:b/>
                <w:color w:val="FFFFFF"/>
                <w:sz w:val="17"/>
              </w:rPr>
              <w:t>Variable</w:t>
            </w:r>
          </w:p>
        </w:tc>
        <w:tc>
          <w:tcPr>
            <w:tcW w:type="dxa" w:w="3545"/>
            <w:shd w:val="clear" w:color="auto" w:fill="1F4E79"/>
          </w:tcPr>
          <w:p>
            <w:pPr>
              <w:spacing w:after="20" w:line="240" w:lineRule="auto"/>
            </w:pPr>
            <w:r>
              <w:rPr>
                <w:b/>
                <w:color w:val="FFFFFF"/>
                <w:sz w:val="17"/>
              </w:rPr>
              <w:t>Definición</w:t>
            </w:r>
          </w:p>
        </w:tc>
        <w:tc>
          <w:tcPr>
            <w:tcW w:type="dxa" w:w="3545"/>
            <w:shd w:val="clear" w:color="auto" w:fill="1F4E79"/>
          </w:tcPr>
          <w:p>
            <w:pPr>
              <w:spacing w:after="20" w:line="240" w:lineRule="auto"/>
            </w:pPr>
            <w:r>
              <w:rPr>
                <w:b/>
                <w:color w:val="FFFFFF"/>
                <w:sz w:val="17"/>
              </w:rPr>
              <w:t>Por qué se incluye</w:t>
            </w:r>
          </w:p>
        </w:tc>
      </w:tr>
      <w:tr>
        <w:tc>
          <w:tcPr>
            <w:tcW w:type="dxa" w:w="2543"/>
          </w:tcPr>
          <w:p>
            <w:pPr>
              <w:spacing w:after="20" w:line="240" w:lineRule="auto"/>
            </w:pPr>
            <w:r>
              <w:rPr>
                <w:sz w:val="17"/>
              </w:rPr>
              <w:t>precio_lag24h</w:t>
            </w:r>
          </w:p>
        </w:tc>
        <w:tc>
          <w:tcPr>
            <w:tcW w:type="dxa" w:w="3545"/>
          </w:tcPr>
          <w:p>
            <w:pPr>
              <w:spacing w:after="20" w:line="240" w:lineRule="auto"/>
            </w:pPr>
            <w:r>
              <w:rPr>
                <w:sz w:val="17"/>
              </w:rPr>
              <w:t>Precio de la misma hora hace 96 h (120 h para la 00:00)</w:t>
            </w:r>
          </w:p>
        </w:tc>
        <w:tc>
          <w:tcPr>
            <w:tcW w:type="dxa" w:w="3545"/>
          </w:tcPr>
          <w:p>
            <w:pPr>
              <w:spacing w:after="20" w:line="240" w:lineRule="auto"/>
            </w:pPr>
            <w:r>
              <w:rPr>
                <w:sz w:val="17"/>
              </w:rPr>
              <w:t>El precio más reciente publicado de esa hora</w:t>
            </w:r>
          </w:p>
        </w:tc>
      </w:tr>
      <w:tr>
        <w:tc>
          <w:tcPr>
            <w:tcW w:type="dxa" w:w="2543"/>
            <w:shd w:val="clear" w:color="auto" w:fill="F3F6FA"/>
          </w:tcPr>
          <w:p>
            <w:pPr>
              <w:spacing w:after="20" w:line="240" w:lineRule="auto"/>
            </w:pPr>
            <w:r>
              <w:rPr>
                <w:sz w:val="17"/>
              </w:rPr>
              <w:t>precio_lag168h</w:t>
            </w:r>
          </w:p>
        </w:tc>
        <w:tc>
          <w:tcPr>
            <w:tcW w:type="dxa" w:w="3545"/>
            <w:shd w:val="clear" w:color="auto" w:fill="F3F6FA"/>
          </w:tcPr>
          <w:p>
            <w:pPr>
              <w:spacing w:after="20" w:line="240" w:lineRule="auto"/>
            </w:pPr>
            <w:r>
              <w:rPr>
                <w:sz w:val="17"/>
              </w:rPr>
              <w:t>Precio de la misma hora una semana antes</w:t>
            </w:r>
          </w:p>
        </w:tc>
        <w:tc>
          <w:tcPr>
            <w:tcW w:type="dxa" w:w="3545"/>
            <w:shd w:val="clear" w:color="auto" w:fill="F3F6FA"/>
          </w:tcPr>
          <w:p>
            <w:pPr>
              <w:spacing w:after="20" w:line="240" w:lineRule="auto"/>
            </w:pPr>
            <w:r>
              <w:rPr>
                <w:sz w:val="17"/>
              </w:rPr>
              <w:t>Patrón semanal (laboral contra fin de semana)</w:t>
            </w:r>
          </w:p>
        </w:tc>
      </w:tr>
      <w:tr>
        <w:tc>
          <w:tcPr>
            <w:tcW w:type="dxa" w:w="2543"/>
          </w:tcPr>
          <w:p>
            <w:pPr>
              <w:spacing w:after="20" w:line="240" w:lineRule="auto"/>
            </w:pPr>
            <w:r>
              <w:rPr>
                <w:sz w:val="17"/>
              </w:rPr>
              <w:t>precio_media_24h / 7d / 30d</w:t>
            </w:r>
          </w:p>
        </w:tc>
        <w:tc>
          <w:tcPr>
            <w:tcW w:type="dxa" w:w="3545"/>
          </w:tcPr>
          <w:p>
            <w:pPr>
              <w:spacing w:after="20" w:line="240" w:lineRule="auto"/>
            </w:pPr>
            <w:r>
              <w:rPr>
                <w:sz w:val="17"/>
              </w:rPr>
              <w:t>Promedios móviles del precio publicado</w:t>
            </w:r>
          </w:p>
        </w:tc>
        <w:tc>
          <w:tcPr>
            <w:tcW w:type="dxa" w:w="3545"/>
          </w:tcPr>
          <w:p>
            <w:pPr>
              <w:spacing w:after="20" w:line="240" w:lineRule="auto"/>
            </w:pPr>
            <w:r>
              <w:rPr>
                <w:sz w:val="17"/>
              </w:rPr>
              <w:t>Nivel reciente del mercado en tres escalas</w:t>
            </w:r>
          </w:p>
        </w:tc>
      </w:tr>
      <w:tr>
        <w:tc>
          <w:tcPr>
            <w:tcW w:type="dxa" w:w="2543"/>
            <w:shd w:val="clear" w:color="auto" w:fill="F3F6FA"/>
          </w:tcPr>
          <w:p>
            <w:pPr>
              <w:spacing w:after="20" w:line="240" w:lineRule="auto"/>
            </w:pPr>
            <w:r>
              <w:rPr>
                <w:sz w:val="17"/>
              </w:rPr>
              <w:t>precio_std_24h / 7d</w:t>
            </w:r>
          </w:p>
        </w:tc>
        <w:tc>
          <w:tcPr>
            <w:tcW w:type="dxa" w:w="3545"/>
            <w:shd w:val="clear" w:color="auto" w:fill="F3F6FA"/>
          </w:tcPr>
          <w:p>
            <w:pPr>
              <w:spacing w:after="20" w:line="240" w:lineRule="auto"/>
            </w:pPr>
            <w:r>
              <w:rPr>
                <w:sz w:val="17"/>
              </w:rPr>
              <w:t>Desviación estándar móvil</w:t>
            </w:r>
          </w:p>
        </w:tc>
        <w:tc>
          <w:tcPr>
            <w:tcW w:type="dxa" w:w="3545"/>
            <w:shd w:val="clear" w:color="auto" w:fill="F3F6FA"/>
          </w:tcPr>
          <w:p>
            <w:pPr>
              <w:spacing w:after="20" w:line="240" w:lineRule="auto"/>
            </w:pPr>
            <w:r>
              <w:rPr>
                <w:sz w:val="17"/>
              </w:rPr>
              <w:t>Volatilidad reciente</w:t>
            </w:r>
          </w:p>
        </w:tc>
      </w:tr>
      <w:tr>
        <w:tc>
          <w:tcPr>
            <w:tcW w:type="dxa" w:w="2543"/>
          </w:tcPr>
          <w:p>
            <w:pPr>
              <w:spacing w:after="20" w:line="240" w:lineRule="auto"/>
            </w:pPr>
            <w:r>
              <w:rPr>
                <w:sz w:val="17"/>
              </w:rPr>
              <w:t>precio_rango_24h</w:t>
            </w:r>
          </w:p>
        </w:tc>
        <w:tc>
          <w:tcPr>
            <w:tcW w:type="dxa" w:w="3545"/>
          </w:tcPr>
          <w:p>
            <w:pPr>
              <w:spacing w:after="20" w:line="240" w:lineRule="auto"/>
            </w:pPr>
            <w:r>
              <w:rPr>
                <w:sz w:val="17"/>
              </w:rPr>
              <w:t>Máximo menos mínimo de 24 h</w:t>
            </w:r>
          </w:p>
        </w:tc>
        <w:tc>
          <w:tcPr>
            <w:tcW w:type="dxa" w:w="3545"/>
          </w:tcPr>
          <w:p>
            <w:pPr>
              <w:spacing w:after="20" w:line="240" w:lineRule="auto"/>
            </w:pPr>
            <w:r>
              <w:rPr>
                <w:sz w:val="17"/>
              </w:rPr>
              <w:t>Amplitud del último día publicado</w:t>
            </w:r>
          </w:p>
        </w:tc>
      </w:tr>
      <w:tr>
        <w:tc>
          <w:tcPr>
            <w:tcW w:type="dxa" w:w="2543"/>
            <w:shd w:val="clear" w:color="auto" w:fill="F3F6FA"/>
          </w:tcPr>
          <w:p>
            <w:pPr>
              <w:spacing w:after="20" w:line="240" w:lineRule="auto"/>
            </w:pPr>
            <w:r>
              <w:rPr>
                <w:sz w:val="17"/>
              </w:rPr>
              <w:t>ratio_volatilidad</w:t>
            </w:r>
          </w:p>
        </w:tc>
        <w:tc>
          <w:tcPr>
            <w:tcW w:type="dxa" w:w="3545"/>
            <w:shd w:val="clear" w:color="auto" w:fill="F3F6FA"/>
          </w:tcPr>
          <w:p>
            <w:pPr>
              <w:spacing w:after="20" w:line="240" w:lineRule="auto"/>
            </w:pPr>
            <w:r>
              <w:rPr>
                <w:sz w:val="17"/>
              </w:rPr>
              <w:t>std 24 h / std 7 d</w:t>
            </w:r>
          </w:p>
        </w:tc>
        <w:tc>
          <w:tcPr>
            <w:tcW w:type="dxa" w:w="3545"/>
            <w:shd w:val="clear" w:color="auto" w:fill="F3F6FA"/>
          </w:tcPr>
          <w:p>
            <w:pPr>
              <w:spacing w:after="20" w:line="240" w:lineRule="auto"/>
            </w:pPr>
            <w:r>
              <w:rPr>
                <w:sz w:val="17"/>
              </w:rPr>
              <w:t>Si la volatilidad está subiendo o bajando</w:t>
            </w:r>
          </w:p>
        </w:tc>
      </w:tr>
    </w:tbl>
    <w:p>
      <w:pPr>
        <w:spacing w:after="0"/>
      </w:pPr>
    </w:p>
    <w:p>
      <w:pPr>
        <w:keepNext/>
        <w:spacing w:after="60"/>
      </w:pPr>
      <w:r>
        <w:rPr>
          <w:b/>
          <w:color w:val="1F4E79"/>
          <w:sz w:val="20"/>
        </w:rPr>
        <w:t>Tabla 6. Demanda (R) · 4 variables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43"/>
            <w:shd w:val="clear" w:color="auto" w:fill="1F4E79"/>
          </w:tcPr>
          <w:p>
            <w:pPr>
              <w:spacing w:after="20" w:line="240" w:lineRule="auto"/>
            </w:pPr>
            <w:r>
              <w:rPr>
                <w:b/>
                <w:color w:val="FFFFFF"/>
                <w:sz w:val="17"/>
              </w:rPr>
              <w:t>Variable</w:t>
            </w:r>
          </w:p>
        </w:tc>
        <w:tc>
          <w:tcPr>
            <w:tcW w:type="dxa" w:w="3545"/>
            <w:shd w:val="clear" w:color="auto" w:fill="1F4E79"/>
          </w:tcPr>
          <w:p>
            <w:pPr>
              <w:spacing w:after="20" w:line="240" w:lineRule="auto"/>
            </w:pPr>
            <w:r>
              <w:rPr>
                <w:b/>
                <w:color w:val="FFFFFF"/>
                <w:sz w:val="17"/>
              </w:rPr>
              <w:t>Definición</w:t>
            </w:r>
          </w:p>
        </w:tc>
        <w:tc>
          <w:tcPr>
            <w:tcW w:type="dxa" w:w="3545"/>
            <w:shd w:val="clear" w:color="auto" w:fill="1F4E79"/>
          </w:tcPr>
          <w:p>
            <w:pPr>
              <w:spacing w:after="20" w:line="240" w:lineRule="auto"/>
            </w:pPr>
            <w:r>
              <w:rPr>
                <w:b/>
                <w:color w:val="FFFFFF"/>
                <w:sz w:val="17"/>
              </w:rPr>
              <w:t>Por qué se incluye</w:t>
            </w:r>
          </w:p>
        </w:tc>
      </w:tr>
      <w:tr>
        <w:tc>
          <w:tcPr>
            <w:tcW w:type="dxa" w:w="2543"/>
          </w:tcPr>
          <w:p>
            <w:pPr>
              <w:spacing w:after="20" w:line="240" w:lineRule="auto"/>
            </w:pPr>
            <w:r>
              <w:rPr>
                <w:sz w:val="17"/>
              </w:rPr>
              <w:t>demanda_lag24h / 48h / 72h</w:t>
            </w:r>
          </w:p>
        </w:tc>
        <w:tc>
          <w:tcPr>
            <w:tcW w:type="dxa" w:w="3545"/>
          </w:tcPr>
          <w:p>
            <w:pPr>
              <w:spacing w:after="20" w:line="240" w:lineRule="auto"/>
            </w:pPr>
            <w:r>
              <w:rPr>
                <w:sz w:val="17"/>
              </w:rPr>
              <w:t>Demanda de la misma hora hace 96, 120 y 144 h</w:t>
            </w:r>
          </w:p>
        </w:tc>
        <w:tc>
          <w:tcPr>
            <w:tcW w:type="dxa" w:w="3545"/>
          </w:tcPr>
          <w:p>
            <w:pPr>
              <w:spacing w:after="20" w:line="240" w:lineRule="auto"/>
            </w:pPr>
            <w:r>
              <w:rPr>
                <w:sz w:val="17"/>
              </w:rPr>
              <w:t>Más demanda exige plantas más caras</w:t>
            </w:r>
          </w:p>
        </w:tc>
      </w:tr>
      <w:tr>
        <w:tc>
          <w:tcPr>
            <w:tcW w:type="dxa" w:w="2543"/>
            <w:shd w:val="clear" w:color="auto" w:fill="F3F6FA"/>
          </w:tcPr>
          <w:p>
            <w:pPr>
              <w:spacing w:after="20" w:line="240" w:lineRule="auto"/>
            </w:pPr>
            <w:r>
              <w:rPr>
                <w:sz w:val="17"/>
              </w:rPr>
              <w:t>demanda_media_24h</w:t>
            </w:r>
          </w:p>
        </w:tc>
        <w:tc>
          <w:tcPr>
            <w:tcW w:type="dxa" w:w="3545"/>
            <w:shd w:val="clear" w:color="auto" w:fill="F3F6FA"/>
          </w:tcPr>
          <w:p>
            <w:pPr>
              <w:spacing w:after="20" w:line="240" w:lineRule="auto"/>
            </w:pPr>
            <w:r>
              <w:rPr>
                <w:sz w:val="17"/>
              </w:rPr>
              <w:t>Promedio móvil de 24 h de la demanda publicada</w:t>
            </w:r>
          </w:p>
        </w:tc>
        <w:tc>
          <w:tcPr>
            <w:tcW w:type="dxa" w:w="3545"/>
            <w:shd w:val="clear" w:color="auto" w:fill="F3F6FA"/>
          </w:tcPr>
          <w:p>
            <w:pPr>
              <w:spacing w:after="20" w:line="240" w:lineRule="auto"/>
            </w:pPr>
            <w:r>
              <w:rPr>
                <w:sz w:val="17"/>
              </w:rPr>
              <w:t>Nivel de consumo reciente</w:t>
            </w:r>
          </w:p>
        </w:tc>
      </w:tr>
    </w:tbl>
    <w:p>
      <w:pPr>
        <w:spacing w:after="0"/>
      </w:pPr>
    </w:p>
    <w:p>
      <w:pPr>
        <w:keepNext/>
        <w:spacing w:after="60"/>
      </w:pPr>
      <w:r>
        <w:rPr>
          <w:b/>
          <w:color w:val="1F4E79"/>
          <w:sz w:val="20"/>
        </w:rPr>
        <w:t>Tabla 7. Calendario (R) · 13 variables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43"/>
            <w:shd w:val="clear" w:color="auto" w:fill="1F4E79"/>
          </w:tcPr>
          <w:p>
            <w:pPr>
              <w:spacing w:after="20" w:line="240" w:lineRule="auto"/>
            </w:pPr>
            <w:r>
              <w:rPr>
                <w:b/>
                <w:color w:val="FFFFFF"/>
                <w:sz w:val="17"/>
              </w:rPr>
              <w:t>Variable</w:t>
            </w:r>
          </w:p>
        </w:tc>
        <w:tc>
          <w:tcPr>
            <w:tcW w:type="dxa" w:w="3545"/>
            <w:shd w:val="clear" w:color="auto" w:fill="1F4E79"/>
          </w:tcPr>
          <w:p>
            <w:pPr>
              <w:spacing w:after="20" w:line="240" w:lineRule="auto"/>
            </w:pPr>
            <w:r>
              <w:rPr>
                <w:b/>
                <w:color w:val="FFFFFF"/>
                <w:sz w:val="17"/>
              </w:rPr>
              <w:t>Definición</w:t>
            </w:r>
          </w:p>
        </w:tc>
        <w:tc>
          <w:tcPr>
            <w:tcW w:type="dxa" w:w="3545"/>
            <w:shd w:val="clear" w:color="auto" w:fill="1F4E79"/>
          </w:tcPr>
          <w:p>
            <w:pPr>
              <w:spacing w:after="20" w:line="240" w:lineRule="auto"/>
            </w:pPr>
            <w:r>
              <w:rPr>
                <w:b/>
                <w:color w:val="FFFFFF"/>
                <w:sz w:val="17"/>
              </w:rPr>
              <w:t>Por qué se incluye</w:t>
            </w:r>
          </w:p>
        </w:tc>
      </w:tr>
      <w:tr>
        <w:tc>
          <w:tcPr>
            <w:tcW w:type="dxa" w:w="2543"/>
          </w:tcPr>
          <w:p>
            <w:pPr>
              <w:spacing w:after="20" w:line="240" w:lineRule="auto"/>
            </w:pPr>
            <w:r>
              <w:rPr>
                <w:sz w:val="17"/>
              </w:rPr>
              <w:t>hora_sin, hora_cos</w:t>
            </w:r>
          </w:p>
        </w:tc>
        <w:tc>
          <w:tcPr>
            <w:tcW w:type="dxa" w:w="3545"/>
          </w:tcPr>
          <w:p>
            <w:pPr>
              <w:spacing w:after="20" w:line="240" w:lineRule="auto"/>
            </w:pPr>
            <w:r>
              <w:rPr>
                <w:sz w:val="17"/>
              </w:rPr>
              <w:t>Hora del día en forma circular (seno y coseno)</w:t>
            </w:r>
          </w:p>
        </w:tc>
        <w:tc>
          <w:tcPr>
            <w:tcW w:type="dxa" w:w="3545"/>
          </w:tcPr>
          <w:p>
            <w:pPr>
              <w:spacing w:after="20" w:line="240" w:lineRule="auto"/>
            </w:pPr>
            <w:r>
              <w:rPr>
                <w:sz w:val="17"/>
              </w:rPr>
              <w:t>La hora 23 queda cerca de la 0; el precio tiene picos de mañana y noche</w:t>
            </w:r>
          </w:p>
        </w:tc>
      </w:tr>
      <w:tr>
        <w:tc>
          <w:tcPr>
            <w:tcW w:type="dxa" w:w="2543"/>
            <w:shd w:val="clear" w:color="auto" w:fill="F3F6FA"/>
          </w:tcPr>
          <w:p>
            <w:pPr>
              <w:spacing w:after="20" w:line="240" w:lineRule="auto"/>
            </w:pPr>
            <w:r>
              <w:rPr>
                <w:sz w:val="17"/>
              </w:rPr>
              <w:t>dia_semana_sin, dia_semana_cos</w:t>
            </w:r>
          </w:p>
        </w:tc>
        <w:tc>
          <w:tcPr>
            <w:tcW w:type="dxa" w:w="3545"/>
            <w:shd w:val="clear" w:color="auto" w:fill="F3F6FA"/>
          </w:tcPr>
          <w:p>
            <w:pPr>
              <w:spacing w:after="20" w:line="240" w:lineRule="auto"/>
            </w:pPr>
            <w:r>
              <w:rPr>
                <w:sz w:val="17"/>
              </w:rPr>
              <w:t>Día de la semana circular</w:t>
            </w:r>
          </w:p>
        </w:tc>
        <w:tc>
          <w:tcPr>
            <w:tcW w:type="dxa" w:w="3545"/>
            <w:shd w:val="clear" w:color="auto" w:fill="F3F6FA"/>
          </w:tcPr>
          <w:p>
            <w:pPr>
              <w:spacing w:after="20" w:line="240" w:lineRule="auto"/>
            </w:pPr>
            <w:r>
              <w:rPr>
                <w:sz w:val="17"/>
              </w:rPr>
              <w:t>Domingos y sábados tienen menos demanda</w:t>
            </w:r>
          </w:p>
        </w:tc>
      </w:tr>
      <w:tr>
        <w:tc>
          <w:tcPr>
            <w:tcW w:type="dxa" w:w="2543"/>
          </w:tcPr>
          <w:p>
            <w:pPr>
              <w:spacing w:after="20" w:line="240" w:lineRule="auto"/>
            </w:pPr>
            <w:r>
              <w:rPr>
                <w:sz w:val="17"/>
              </w:rPr>
              <w:t>dia_anio_sin, dia_anio_cos</w:t>
            </w:r>
          </w:p>
        </w:tc>
        <w:tc>
          <w:tcPr>
            <w:tcW w:type="dxa" w:w="3545"/>
          </w:tcPr>
          <w:p>
            <w:pPr>
              <w:spacing w:after="20" w:line="240" w:lineRule="auto"/>
            </w:pPr>
            <w:r>
              <w:rPr>
                <w:sz w:val="17"/>
              </w:rPr>
              <w:t>Día del año circular</w:t>
            </w:r>
          </w:p>
        </w:tc>
        <w:tc>
          <w:tcPr>
            <w:tcW w:type="dxa" w:w="3545"/>
          </w:tcPr>
          <w:p>
            <w:pPr>
              <w:spacing w:after="20" w:line="240" w:lineRule="auto"/>
            </w:pPr>
            <w:r>
              <w:rPr>
                <w:sz w:val="17"/>
              </w:rPr>
              <w:t>Estaciones secas y lluviosas</w:t>
            </w:r>
          </w:p>
        </w:tc>
      </w:tr>
      <w:tr>
        <w:tc>
          <w:tcPr>
            <w:tcW w:type="dxa" w:w="2543"/>
            <w:shd w:val="clear" w:color="auto" w:fill="F3F6FA"/>
          </w:tcPr>
          <w:p>
            <w:pPr>
              <w:spacing w:after="20" w:line="240" w:lineRule="auto"/>
            </w:pPr>
            <w:r>
              <w:rPr>
                <w:sz w:val="17"/>
              </w:rPr>
              <w:t>es_festivo</w:t>
            </w:r>
          </w:p>
        </w:tc>
        <w:tc>
          <w:tcPr>
            <w:tcW w:type="dxa" w:w="3545"/>
            <w:shd w:val="clear" w:color="auto" w:fill="F3F6FA"/>
          </w:tcPr>
          <w:p>
            <w:pPr>
              <w:spacing w:after="20" w:line="240" w:lineRule="auto"/>
            </w:pPr>
            <w:r>
              <w:rPr>
                <w:sz w:val="17"/>
              </w:rPr>
              <w:t>1 si el día es festivo en Colombia</w:t>
            </w:r>
          </w:p>
        </w:tc>
        <w:tc>
          <w:tcPr>
            <w:tcW w:type="dxa" w:w="3545"/>
            <w:shd w:val="clear" w:color="auto" w:fill="F3F6FA"/>
          </w:tcPr>
          <w:p>
            <w:pPr>
              <w:spacing w:after="20" w:line="240" w:lineRule="auto"/>
            </w:pPr>
            <w:r>
              <w:rPr>
                <w:sz w:val="17"/>
              </w:rPr>
              <w:t>Un festivo se comporta como domingo</w:t>
            </w:r>
          </w:p>
        </w:tc>
      </w:tr>
      <w:tr>
        <w:tc>
          <w:tcPr>
            <w:tcW w:type="dxa" w:w="2543"/>
          </w:tcPr>
          <w:p>
            <w:pPr>
              <w:spacing w:after="20" w:line="240" w:lineRule="auto"/>
            </w:pPr>
            <w:r>
              <w:rPr>
                <w:sz w:val="17"/>
              </w:rPr>
              <w:t>festivo_lag24h / 48h / 72h / 168h</w:t>
            </w:r>
          </w:p>
        </w:tc>
        <w:tc>
          <w:tcPr>
            <w:tcW w:type="dxa" w:w="3545"/>
          </w:tcPr>
          <w:p>
            <w:pPr>
              <w:spacing w:after="20" w:line="240" w:lineRule="auto"/>
            </w:pPr>
            <w:r>
              <w:rPr>
                <w:sz w:val="17"/>
              </w:rPr>
              <w:t>Si fue festivo 1, 2, 3 o 7 días antes</w:t>
            </w:r>
          </w:p>
        </w:tc>
        <w:tc>
          <w:tcPr>
            <w:tcW w:type="dxa" w:w="3545"/>
          </w:tcPr>
          <w:p>
            <w:pPr>
              <w:spacing w:after="20" w:line="240" w:lineRule="auto"/>
            </w:pPr>
            <w:r>
              <w:rPr>
                <w:sz w:val="17"/>
              </w:rPr>
              <w:t>Efecto del festivo sobre los días siguientes</w:t>
            </w:r>
          </w:p>
        </w:tc>
      </w:tr>
      <w:tr>
        <w:tc>
          <w:tcPr>
            <w:tcW w:type="dxa" w:w="2543"/>
            <w:shd w:val="clear" w:color="auto" w:fill="F3F6FA"/>
          </w:tcPr>
          <w:p>
            <w:pPr>
              <w:spacing w:after="20" w:line="240" w:lineRule="auto"/>
            </w:pPr>
            <w:r>
              <w:rPr>
                <w:sz w:val="17"/>
              </w:rPr>
              <w:t>mismatch_festivo_24h / 168h</w:t>
            </w:r>
          </w:p>
        </w:tc>
        <w:tc>
          <w:tcPr>
            <w:tcW w:type="dxa" w:w="3545"/>
            <w:shd w:val="clear" w:color="auto" w:fill="F3F6FA"/>
          </w:tcPr>
          <w:p>
            <w:pPr>
              <w:spacing w:after="20" w:line="240" w:lineRule="auto"/>
            </w:pPr>
            <w:r>
              <w:rPr>
                <w:sz w:val="17"/>
              </w:rPr>
              <w:t>1 si hoy y el día de referencia (ayer o hace una semana) no coinciden en ser festivos</w:t>
            </w:r>
          </w:p>
        </w:tc>
        <w:tc>
          <w:tcPr>
            <w:tcW w:type="dxa" w:w="3545"/>
            <w:shd w:val="clear" w:color="auto" w:fill="F3F6FA"/>
          </w:tcPr>
          <w:p>
            <w:pPr>
              <w:spacing w:after="20" w:line="240" w:lineRule="auto"/>
            </w:pPr>
            <w:r>
              <w:rPr>
                <w:sz w:val="17"/>
              </w:rPr>
              <w:t>Avisa que el precio de referencia no es comparable</w:t>
            </w:r>
          </w:p>
        </w:tc>
      </w:tr>
    </w:tbl>
    <w:p>
      <w:pPr>
        <w:spacing w:after="0"/>
      </w:pPr>
    </w:p>
    <w:p>
      <w:pPr>
        <w:keepNext/>
        <w:spacing w:after="60"/>
      </w:pPr>
      <w:r>
        <w:rPr>
          <w:b/>
          <w:color w:val="1F4E79"/>
          <w:sz w:val="20"/>
        </w:rPr>
        <w:t>Tabla 8. Predespacho ideal (P) · 9 variables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43"/>
            <w:shd w:val="clear" w:color="auto" w:fill="1F4E79"/>
          </w:tcPr>
          <w:p>
            <w:pPr>
              <w:spacing w:after="20" w:line="240" w:lineRule="auto"/>
            </w:pPr>
            <w:r>
              <w:rPr>
                <w:b/>
                <w:color w:val="FFFFFF"/>
                <w:sz w:val="17"/>
              </w:rPr>
              <w:t>Variable</w:t>
            </w:r>
          </w:p>
        </w:tc>
        <w:tc>
          <w:tcPr>
            <w:tcW w:type="dxa" w:w="3545"/>
            <w:shd w:val="clear" w:color="auto" w:fill="1F4E79"/>
          </w:tcPr>
          <w:p>
            <w:pPr>
              <w:spacing w:after="20" w:line="240" w:lineRule="auto"/>
            </w:pPr>
            <w:r>
              <w:rPr>
                <w:b/>
                <w:color w:val="FFFFFF"/>
                <w:sz w:val="17"/>
              </w:rPr>
              <w:t>Definición</w:t>
            </w:r>
          </w:p>
        </w:tc>
        <w:tc>
          <w:tcPr>
            <w:tcW w:type="dxa" w:w="3545"/>
            <w:shd w:val="clear" w:color="auto" w:fill="1F4E79"/>
          </w:tcPr>
          <w:p>
            <w:pPr>
              <w:spacing w:after="20" w:line="240" w:lineRule="auto"/>
            </w:pPr>
            <w:r>
              <w:rPr>
                <w:b/>
                <w:color w:val="FFFFFF"/>
                <w:sz w:val="17"/>
              </w:rPr>
              <w:t>Por qué se incluye</w:t>
            </w:r>
          </w:p>
        </w:tc>
      </w:tr>
      <w:tr>
        <w:tc>
          <w:tcPr>
            <w:tcW w:type="dxa" w:w="2543"/>
          </w:tcPr>
          <w:p>
            <w:pPr>
              <w:spacing w:after="20" w:line="240" w:lineRule="auto"/>
            </w:pPr>
            <w:r>
              <w:rPr>
                <w:sz w:val="17"/>
              </w:rPr>
              <w:t>pre_obj</w:t>
            </w:r>
          </w:p>
        </w:tc>
        <w:tc>
          <w:tcPr>
            <w:tcW w:type="dxa" w:w="3545"/>
          </w:tcPr>
          <w:p>
            <w:pPr>
              <w:spacing w:after="20" w:line="240" w:lineRule="auto"/>
            </w:pPr>
            <w:r>
              <w:rPr>
                <w:sz w:val="17"/>
              </w:rPr>
              <w:t>Costo marginal del predespacho en la hora pronosticada</w:t>
            </w:r>
          </w:p>
        </w:tc>
        <w:tc>
          <w:tcPr>
            <w:tcW w:type="dxa" w:w="3545"/>
          </w:tcPr>
          <w:p>
            <w:pPr>
              <w:spacing w:after="20" w:line="240" w:lineRule="auto"/>
            </w:pPr>
            <w:r>
              <w:rPr>
                <w:sz w:val="17"/>
              </w:rPr>
              <w:t>La mejor estimación pública del precio; es la referencia del modelo</w:t>
            </w:r>
          </w:p>
        </w:tc>
      </w:tr>
      <w:tr>
        <w:tc>
          <w:tcPr>
            <w:tcW w:type="dxa" w:w="2543"/>
            <w:shd w:val="clear" w:color="auto" w:fill="F3F6FA"/>
          </w:tcPr>
          <w:p>
            <w:pPr>
              <w:spacing w:after="20" w:line="240" w:lineRule="auto"/>
            </w:pPr>
            <w:r>
              <w:rPr>
                <w:sz w:val="17"/>
              </w:rPr>
              <w:t>log_pre</w:t>
            </w:r>
          </w:p>
        </w:tc>
        <w:tc>
          <w:tcPr>
            <w:tcW w:type="dxa" w:w="3545"/>
            <w:shd w:val="clear" w:color="auto" w:fill="F3F6FA"/>
          </w:tcPr>
          <w:p>
            <w:pPr>
              <w:spacing w:after="20" w:line="240" w:lineRule="auto"/>
            </w:pPr>
            <w:r>
              <w:rPr>
                <w:sz w:val="17"/>
              </w:rPr>
              <w:t>Logaritmo de pre_obj</w:t>
            </w:r>
          </w:p>
        </w:tc>
        <w:tc>
          <w:tcPr>
            <w:tcW w:type="dxa" w:w="3545"/>
            <w:shd w:val="clear" w:color="auto" w:fill="F3F6FA"/>
          </w:tcPr>
          <w:p>
            <w:pPr>
              <w:spacing w:after="20" w:line="240" w:lineRule="auto"/>
            </w:pPr>
            <w:r>
              <w:rPr>
                <w:sz w:val="17"/>
              </w:rPr>
              <w:t>Escala en la que trabaja el modelo</w:t>
            </w:r>
          </w:p>
        </w:tc>
      </w:tr>
      <w:tr>
        <w:tc>
          <w:tcPr>
            <w:tcW w:type="dxa" w:w="2543"/>
          </w:tcPr>
          <w:p>
            <w:pPr>
              <w:spacing w:after="20" w:line="240" w:lineRule="auto"/>
            </w:pPr>
            <w:r>
              <w:rPr>
                <w:sz w:val="17"/>
              </w:rPr>
              <w:t>pre_media, pre_min, pre_max</w:t>
            </w:r>
          </w:p>
        </w:tc>
        <w:tc>
          <w:tcPr>
            <w:tcW w:type="dxa" w:w="3545"/>
          </w:tcPr>
          <w:p>
            <w:pPr>
              <w:spacing w:after="20" w:line="240" w:lineRule="auto"/>
            </w:pPr>
            <w:r>
              <w:rPr>
                <w:sz w:val="17"/>
              </w:rPr>
              <w:t>Promedio, mínimo y máximo del predespacho en el día</w:t>
            </w:r>
          </w:p>
        </w:tc>
        <w:tc>
          <w:tcPr>
            <w:tcW w:type="dxa" w:w="3545"/>
          </w:tcPr>
          <w:p>
            <w:pPr>
              <w:spacing w:after="20" w:line="240" w:lineRule="auto"/>
            </w:pPr>
            <w:r>
              <w:rPr>
                <w:sz w:val="17"/>
              </w:rPr>
              <w:t>Nivel y extremos que XM espera</w:t>
            </w:r>
          </w:p>
        </w:tc>
      </w:tr>
      <w:tr>
        <w:tc>
          <w:tcPr>
            <w:tcW w:type="dxa" w:w="2543"/>
            <w:shd w:val="clear" w:color="auto" w:fill="F3F6FA"/>
          </w:tcPr>
          <w:p>
            <w:pPr>
              <w:spacing w:after="20" w:line="240" w:lineRule="auto"/>
            </w:pPr>
            <w:r>
              <w:rPr>
                <w:sz w:val="17"/>
              </w:rPr>
              <w:t>pre_rel</w:t>
            </w:r>
          </w:p>
        </w:tc>
        <w:tc>
          <w:tcPr>
            <w:tcW w:type="dxa" w:w="3545"/>
            <w:shd w:val="clear" w:color="auto" w:fill="F3F6FA"/>
          </w:tcPr>
          <w:p>
            <w:pPr>
              <w:spacing w:after="20" w:line="240" w:lineRule="auto"/>
            </w:pPr>
            <w:r>
              <w:rPr>
                <w:sz w:val="17"/>
              </w:rPr>
              <w:t>pre_obj / pre_media</w:t>
            </w:r>
          </w:p>
        </w:tc>
        <w:tc>
          <w:tcPr>
            <w:tcW w:type="dxa" w:w="3545"/>
            <w:shd w:val="clear" w:color="auto" w:fill="F3F6FA"/>
          </w:tcPr>
          <w:p>
            <w:pPr>
              <w:spacing w:after="20" w:line="240" w:lineRule="auto"/>
            </w:pPr>
            <w:r>
              <w:rPr>
                <w:sz w:val="17"/>
              </w:rPr>
              <w:t>Si la hora está por encima o por debajo del promedio del día</w:t>
            </w:r>
          </w:p>
        </w:tc>
      </w:tr>
      <w:tr>
        <w:tc>
          <w:tcPr>
            <w:tcW w:type="dxa" w:w="2543"/>
          </w:tcPr>
          <w:p>
            <w:pPr>
              <w:spacing w:after="20" w:line="240" w:lineRule="auto"/>
            </w:pPr>
            <w:r>
              <w:rPr>
                <w:sz w:val="17"/>
              </w:rPr>
              <w:t>pre_rango_rel</w:t>
            </w:r>
          </w:p>
        </w:tc>
        <w:tc>
          <w:tcPr>
            <w:tcW w:type="dxa" w:w="3545"/>
          </w:tcPr>
          <w:p>
            <w:pPr>
              <w:spacing w:after="20" w:line="240" w:lineRule="auto"/>
            </w:pPr>
            <w:r>
              <w:rPr>
                <w:sz w:val="17"/>
              </w:rPr>
              <w:t>(pre_max − pre_min) / pre_media</w:t>
            </w:r>
          </w:p>
        </w:tc>
        <w:tc>
          <w:tcPr>
            <w:tcW w:type="dxa" w:w="3545"/>
          </w:tcPr>
          <w:p>
            <w:pPr>
              <w:spacing w:after="20" w:line="240" w:lineRule="auto"/>
            </w:pPr>
            <w:r>
              <w:rPr>
                <w:sz w:val="17"/>
              </w:rPr>
              <w:t>Qué tan "montañoso" espera XM el día</w:t>
            </w:r>
          </w:p>
        </w:tc>
      </w:tr>
      <w:tr>
        <w:tc>
          <w:tcPr>
            <w:tcW w:type="dxa" w:w="2543"/>
            <w:shd w:val="clear" w:color="auto" w:fill="F3F6FA"/>
          </w:tcPr>
          <w:p>
            <w:pPr>
              <w:spacing w:after="20" w:line="240" w:lineRule="auto"/>
            </w:pPr>
            <w:r>
              <w:rPr>
                <w:sz w:val="17"/>
              </w:rPr>
              <w:t>pre_lag24</w:t>
            </w:r>
          </w:p>
        </w:tc>
        <w:tc>
          <w:tcPr>
            <w:tcW w:type="dxa" w:w="3545"/>
            <w:shd w:val="clear" w:color="auto" w:fill="F3F6FA"/>
          </w:tcPr>
          <w:p>
            <w:pPr>
              <w:spacing w:after="20" w:line="240" w:lineRule="auto"/>
            </w:pPr>
            <w:r>
              <w:rPr>
                <w:sz w:val="17"/>
              </w:rPr>
              <w:t>Predespacho de la misma hora el día anterior</w:t>
            </w:r>
          </w:p>
        </w:tc>
        <w:tc>
          <w:tcPr>
            <w:tcW w:type="dxa" w:w="3545"/>
            <w:shd w:val="clear" w:color="auto" w:fill="F3F6FA"/>
          </w:tcPr>
          <w:p>
            <w:pPr>
              <w:spacing w:after="20" w:line="240" w:lineRule="auto"/>
            </w:pPr>
            <w:r>
              <w:rPr>
                <w:sz w:val="17"/>
              </w:rPr>
              <w:t>Cambio de un día a otro</w:t>
            </w:r>
          </w:p>
        </w:tc>
      </w:tr>
      <w:tr>
        <w:tc>
          <w:tcPr>
            <w:tcW w:type="dxa" w:w="2543"/>
          </w:tcPr>
          <w:p>
            <w:pPr>
              <w:spacing w:after="20" w:line="240" w:lineRule="auto"/>
            </w:pPr>
            <w:r>
              <w:rPr>
                <w:sz w:val="17"/>
              </w:rPr>
              <w:t>pre_cambio24</w:t>
            </w:r>
          </w:p>
        </w:tc>
        <w:tc>
          <w:tcPr>
            <w:tcW w:type="dxa" w:w="3545"/>
          </w:tcPr>
          <w:p>
            <w:pPr>
              <w:spacing w:after="20" w:line="240" w:lineRule="auto"/>
            </w:pPr>
            <w:r>
              <w:rPr>
                <w:sz w:val="17"/>
              </w:rPr>
              <w:t>pre_obj / pre_lag24</w:t>
            </w:r>
          </w:p>
        </w:tc>
        <w:tc>
          <w:tcPr>
            <w:tcW w:type="dxa" w:w="3545"/>
          </w:tcPr>
          <w:p>
            <w:pPr>
              <w:spacing w:after="20" w:line="240" w:lineRule="auto"/>
            </w:pPr>
            <w:r>
              <w:rPr>
                <w:sz w:val="17"/>
              </w:rPr>
              <w:t>Si XM espera un día más caro o más barato que ayer</w:t>
            </w:r>
          </w:p>
        </w:tc>
      </w:tr>
    </w:tbl>
    <w:p>
      <w:pPr>
        <w:spacing w:after="0"/>
      </w:pPr>
    </w:p>
    <w:p>
      <w:pPr>
        <w:keepNext/>
        <w:spacing w:after="60"/>
      </w:pPr>
      <w:r>
        <w:rPr>
          <w:b/>
          <w:color w:val="1F4E79"/>
          <w:sz w:val="20"/>
        </w:rPr>
        <w:t>Tabla 9. Forma intradía del predespacho (F) · 6 variables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43"/>
            <w:shd w:val="clear" w:color="auto" w:fill="1F4E79"/>
          </w:tcPr>
          <w:p>
            <w:pPr>
              <w:spacing w:after="20" w:line="240" w:lineRule="auto"/>
            </w:pPr>
            <w:r>
              <w:rPr>
                <w:b/>
                <w:color w:val="FFFFFF"/>
                <w:sz w:val="17"/>
              </w:rPr>
              <w:t>Variable</w:t>
            </w:r>
          </w:p>
        </w:tc>
        <w:tc>
          <w:tcPr>
            <w:tcW w:type="dxa" w:w="3545"/>
            <w:shd w:val="clear" w:color="auto" w:fill="1F4E79"/>
          </w:tcPr>
          <w:p>
            <w:pPr>
              <w:spacing w:after="20" w:line="240" w:lineRule="auto"/>
            </w:pPr>
            <w:r>
              <w:rPr>
                <w:b/>
                <w:color w:val="FFFFFF"/>
                <w:sz w:val="17"/>
              </w:rPr>
              <w:t>Definición</w:t>
            </w:r>
          </w:p>
        </w:tc>
        <w:tc>
          <w:tcPr>
            <w:tcW w:type="dxa" w:w="3545"/>
            <w:shd w:val="clear" w:color="auto" w:fill="1F4E79"/>
          </w:tcPr>
          <w:p>
            <w:pPr>
              <w:spacing w:after="20" w:line="240" w:lineRule="auto"/>
            </w:pPr>
            <w:r>
              <w:rPr>
                <w:b/>
                <w:color w:val="FFFFFF"/>
                <w:sz w:val="17"/>
              </w:rPr>
              <w:t>Por qué se incluye</w:t>
            </w:r>
          </w:p>
        </w:tc>
      </w:tr>
      <w:tr>
        <w:tc>
          <w:tcPr>
            <w:tcW w:type="dxa" w:w="2543"/>
          </w:tcPr>
          <w:p>
            <w:pPr>
              <w:spacing w:after="20" w:line="240" w:lineRule="auto"/>
            </w:pPr>
            <w:r>
              <w:rPr>
                <w:sz w:val="17"/>
              </w:rPr>
              <w:t>pre_d1</w:t>
            </w:r>
          </w:p>
        </w:tc>
        <w:tc>
          <w:tcPr>
            <w:tcW w:type="dxa" w:w="3545"/>
          </w:tcPr>
          <w:p>
            <w:pPr>
              <w:spacing w:after="20" w:line="240" w:lineRule="auto"/>
            </w:pPr>
            <w:r>
              <w:rPr>
                <w:sz w:val="17"/>
              </w:rPr>
              <w:t>(hora actual − hora anterior) / media del día</w:t>
            </w:r>
          </w:p>
        </w:tc>
        <w:tc>
          <w:tcPr>
            <w:tcW w:type="dxa" w:w="3545"/>
          </w:tcPr>
          <w:p>
            <w:pPr>
              <w:spacing w:after="20" w:line="240" w:lineRule="auto"/>
            </w:pPr>
            <w:r>
              <w:rPr>
                <w:sz w:val="17"/>
              </w:rPr>
              <w:t>Si la hora está en una rampa de subida o bajada</w:t>
            </w:r>
          </w:p>
        </w:tc>
      </w:tr>
      <w:tr>
        <w:tc>
          <w:tcPr>
            <w:tcW w:type="dxa" w:w="2543"/>
            <w:shd w:val="clear" w:color="auto" w:fill="F3F6FA"/>
          </w:tcPr>
          <w:p>
            <w:pPr>
              <w:spacing w:after="20" w:line="240" w:lineRule="auto"/>
            </w:pPr>
            <w:r>
              <w:rPr>
                <w:sz w:val="17"/>
              </w:rPr>
              <w:t>pre_d1_sig</w:t>
            </w:r>
          </w:p>
        </w:tc>
        <w:tc>
          <w:tcPr>
            <w:tcW w:type="dxa" w:w="3545"/>
            <w:shd w:val="clear" w:color="auto" w:fill="F3F6FA"/>
          </w:tcPr>
          <w:p>
            <w:pPr>
              <w:spacing w:after="20" w:line="240" w:lineRule="auto"/>
            </w:pPr>
            <w:r>
              <w:rPr>
                <w:sz w:val="17"/>
              </w:rPr>
              <w:t>(hora siguiente − hora actual) / media</w:t>
            </w:r>
          </w:p>
        </w:tc>
        <w:tc>
          <w:tcPr>
            <w:tcW w:type="dxa" w:w="3545"/>
            <w:shd w:val="clear" w:color="auto" w:fill="F3F6FA"/>
          </w:tcPr>
          <w:p>
            <w:pPr>
              <w:spacing w:after="20" w:line="240" w:lineRule="auto"/>
            </w:pPr>
            <w:r>
              <w:rPr>
                <w:sz w:val="17"/>
              </w:rPr>
              <w:t>Hacia dónde va la rampa</w:t>
            </w:r>
          </w:p>
        </w:tc>
      </w:tr>
      <w:tr>
        <w:tc>
          <w:tcPr>
            <w:tcW w:type="dxa" w:w="2543"/>
          </w:tcPr>
          <w:p>
            <w:pPr>
              <w:spacing w:after="20" w:line="240" w:lineRule="auto"/>
            </w:pPr>
            <w:r>
              <w:rPr>
                <w:sz w:val="17"/>
              </w:rPr>
              <w:t>pre_rango_hora</w:t>
            </w:r>
          </w:p>
        </w:tc>
        <w:tc>
          <w:tcPr>
            <w:tcW w:type="dxa" w:w="3545"/>
          </w:tcPr>
          <w:p>
            <w:pPr>
              <w:spacing w:after="20" w:line="240" w:lineRule="auto"/>
            </w:pPr>
            <w:r>
              <w:rPr>
                <w:sz w:val="17"/>
              </w:rPr>
              <w:t>Posición de la hora dentro del día (0 = la más barata, 1 = la más cara)</w:t>
            </w:r>
          </w:p>
        </w:tc>
        <w:tc>
          <w:tcPr>
            <w:tcW w:type="dxa" w:w="3545"/>
          </w:tcPr>
          <w:p>
            <w:pPr>
              <w:spacing w:after="20" w:line="240" w:lineRule="auto"/>
            </w:pPr>
            <w:r>
              <w:rPr>
                <w:sz w:val="17"/>
              </w:rPr>
              <w:t>Ubica picos y valles</w:t>
            </w:r>
          </w:p>
        </w:tc>
      </w:tr>
      <w:tr>
        <w:tc>
          <w:tcPr>
            <w:tcW w:type="dxa" w:w="2543"/>
            <w:shd w:val="clear" w:color="auto" w:fill="F3F6FA"/>
          </w:tcPr>
          <w:p>
            <w:pPr>
              <w:spacing w:after="20" w:line="240" w:lineRule="auto"/>
            </w:pPr>
            <w:r>
              <w:rPr>
                <w:sz w:val="17"/>
              </w:rPr>
              <w:t>pre_z</w:t>
            </w:r>
          </w:p>
        </w:tc>
        <w:tc>
          <w:tcPr>
            <w:tcW w:type="dxa" w:w="3545"/>
            <w:shd w:val="clear" w:color="auto" w:fill="F3F6FA"/>
          </w:tcPr>
          <w:p>
            <w:pPr>
              <w:spacing w:after="20" w:line="240" w:lineRule="auto"/>
            </w:pPr>
            <w:r>
              <w:rPr>
                <w:sz w:val="17"/>
              </w:rPr>
              <w:t>(hora − media) / desviación del día</w:t>
            </w:r>
          </w:p>
        </w:tc>
        <w:tc>
          <w:tcPr>
            <w:tcW w:type="dxa" w:w="3545"/>
            <w:shd w:val="clear" w:color="auto" w:fill="F3F6FA"/>
          </w:tcPr>
          <w:p>
            <w:pPr>
              <w:spacing w:after="20" w:line="240" w:lineRule="auto"/>
            </w:pPr>
            <w:r>
              <w:rPr>
                <w:sz w:val="17"/>
              </w:rPr>
              <w:t>Qué tan extrema es la hora dentro de su día</w:t>
            </w:r>
          </w:p>
        </w:tc>
      </w:tr>
      <w:tr>
        <w:tc>
          <w:tcPr>
            <w:tcW w:type="dxa" w:w="2543"/>
          </w:tcPr>
          <w:p>
            <w:pPr>
              <w:spacing w:after="20" w:line="240" w:lineRule="auto"/>
            </w:pPr>
            <w:r>
              <w:rPr>
                <w:sz w:val="17"/>
              </w:rPr>
              <w:t>pre_max_hora, pre_min_hora</w:t>
            </w:r>
          </w:p>
        </w:tc>
        <w:tc>
          <w:tcPr>
            <w:tcW w:type="dxa" w:w="3545"/>
          </w:tcPr>
          <w:p>
            <w:pPr>
              <w:spacing w:after="20" w:line="240" w:lineRule="auto"/>
            </w:pPr>
            <w:r>
              <w:rPr>
                <w:sz w:val="17"/>
              </w:rPr>
              <w:t>Hora en que el predespacho alcanza su máximo y su mínimo</w:t>
            </w:r>
          </w:p>
        </w:tc>
        <w:tc>
          <w:tcPr>
            <w:tcW w:type="dxa" w:w="3545"/>
          </w:tcPr>
          <w:p>
            <w:pPr>
              <w:spacing w:after="20" w:line="240" w:lineRule="auto"/>
            </w:pPr>
            <w:r>
              <w:rPr>
                <w:sz w:val="17"/>
              </w:rPr>
              <w:t>Momento esperado del pico y del valle</w:t>
            </w:r>
          </w:p>
        </w:tc>
      </w:tr>
    </w:tbl>
    <w:p>
      <w:pPr>
        <w:spacing w:after="0"/>
      </w:pPr>
    </w:p>
    <w:p>
      <w:pPr>
        <w:keepNext/>
        <w:spacing w:after="60"/>
      </w:pPr>
      <w:r>
        <w:rPr>
          <w:b/>
          <w:color w:val="1F4E79"/>
          <w:sz w:val="20"/>
        </w:rPr>
        <w:t>Tabla 10. Despacho programado (C) · 6 variables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43"/>
            <w:shd w:val="clear" w:color="auto" w:fill="1F4E79"/>
          </w:tcPr>
          <w:p>
            <w:pPr>
              <w:spacing w:after="20" w:line="240" w:lineRule="auto"/>
            </w:pPr>
            <w:r>
              <w:rPr>
                <w:b/>
                <w:color w:val="FFFFFF"/>
                <w:sz w:val="17"/>
              </w:rPr>
              <w:t>Variable</w:t>
            </w:r>
          </w:p>
        </w:tc>
        <w:tc>
          <w:tcPr>
            <w:tcW w:type="dxa" w:w="3545"/>
            <w:shd w:val="clear" w:color="auto" w:fill="1F4E79"/>
          </w:tcPr>
          <w:p>
            <w:pPr>
              <w:spacing w:after="20" w:line="240" w:lineRule="auto"/>
            </w:pPr>
            <w:r>
              <w:rPr>
                <w:b/>
                <w:color w:val="FFFFFF"/>
                <w:sz w:val="17"/>
              </w:rPr>
              <w:t>Definición</w:t>
            </w:r>
          </w:p>
        </w:tc>
        <w:tc>
          <w:tcPr>
            <w:tcW w:type="dxa" w:w="3545"/>
            <w:shd w:val="clear" w:color="auto" w:fill="1F4E79"/>
          </w:tcPr>
          <w:p>
            <w:pPr>
              <w:spacing w:after="20" w:line="240" w:lineRule="auto"/>
            </w:pPr>
            <w:r>
              <w:rPr>
                <w:b/>
                <w:color w:val="FFFFFF"/>
                <w:sz w:val="17"/>
              </w:rPr>
              <w:t>Por qué se incluye</w:t>
            </w:r>
          </w:p>
        </w:tc>
      </w:tr>
      <w:tr>
        <w:tc>
          <w:tcPr>
            <w:tcW w:type="dxa" w:w="2543"/>
          </w:tcPr>
          <w:p>
            <w:pPr>
              <w:spacing w:after="20" w:line="240" w:lineRule="auto"/>
            </w:pPr>
            <w:r>
              <w:rPr>
                <w:sz w:val="17"/>
              </w:rPr>
              <w:t>cm_programado</w:t>
            </w:r>
          </w:p>
        </w:tc>
        <w:tc>
          <w:tcPr>
            <w:tcW w:type="dxa" w:w="3545"/>
          </w:tcPr>
          <w:p>
            <w:pPr>
              <w:spacing w:after="20" w:line="240" w:lineRule="auto"/>
            </w:pPr>
            <w:r>
              <w:rPr>
                <w:sz w:val="17"/>
              </w:rPr>
              <w:t>Costo marginal del despacho programado (dMAR) en la hora</w:t>
            </w:r>
          </w:p>
        </w:tc>
        <w:tc>
          <w:tcPr>
            <w:tcW w:type="dxa" w:w="3545"/>
          </w:tcPr>
          <w:p>
            <w:pPr>
              <w:spacing w:after="20" w:line="240" w:lineRule="auto"/>
            </w:pPr>
            <w:r>
              <w:rPr>
                <w:sz w:val="17"/>
              </w:rPr>
              <w:t>Incluye restricciones de red que el predespacho ideal no tiene</w:t>
            </w:r>
          </w:p>
        </w:tc>
      </w:tr>
      <w:tr>
        <w:tc>
          <w:tcPr>
            <w:tcW w:type="dxa" w:w="2543"/>
            <w:shd w:val="clear" w:color="auto" w:fill="F3F6FA"/>
          </w:tcPr>
          <w:p>
            <w:pPr>
              <w:spacing w:after="20" w:line="240" w:lineRule="auto"/>
            </w:pPr>
            <w:r>
              <w:rPr>
                <w:sz w:val="17"/>
              </w:rPr>
              <w:t>demanda_programada</w:t>
            </w:r>
          </w:p>
        </w:tc>
        <w:tc>
          <w:tcPr>
            <w:tcW w:type="dxa" w:w="3545"/>
            <w:shd w:val="clear" w:color="auto" w:fill="F3F6FA"/>
          </w:tcPr>
          <w:p>
            <w:pPr>
              <w:spacing w:after="20" w:line="240" w:lineRule="auto"/>
            </w:pPr>
            <w:r>
              <w:rPr>
                <w:sz w:val="17"/>
              </w:rPr>
              <w:t>Demanda que XM programó para la hora (dDEM)</w:t>
            </w:r>
          </w:p>
        </w:tc>
        <w:tc>
          <w:tcPr>
            <w:tcW w:type="dxa" w:w="3545"/>
            <w:shd w:val="clear" w:color="auto" w:fill="F3F6FA"/>
          </w:tcPr>
          <w:p>
            <w:pPr>
              <w:spacing w:after="20" w:line="240" w:lineRule="auto"/>
            </w:pPr>
            <w:r>
              <w:rPr>
                <w:sz w:val="17"/>
              </w:rPr>
              <w:t>Pronóstico oficial de demanda</w:t>
            </w:r>
          </w:p>
        </w:tc>
      </w:tr>
      <w:tr>
        <w:tc>
          <w:tcPr>
            <w:tcW w:type="dxa" w:w="2543"/>
          </w:tcPr>
          <w:p>
            <w:pPr>
              <w:spacing w:after="20" w:line="240" w:lineRule="auto"/>
            </w:pPr>
            <w:r>
              <w:rPr>
                <w:sz w:val="17"/>
              </w:rPr>
              <w:t>cm_prog_rel_pre</w:t>
            </w:r>
          </w:p>
        </w:tc>
        <w:tc>
          <w:tcPr>
            <w:tcW w:type="dxa" w:w="3545"/>
          </w:tcPr>
          <w:p>
            <w:pPr>
              <w:spacing w:after="20" w:line="240" w:lineRule="auto"/>
            </w:pPr>
            <w:r>
              <w:rPr>
                <w:sz w:val="17"/>
              </w:rPr>
              <w:t>cm_programado / pre_obj</w:t>
            </w:r>
          </w:p>
        </w:tc>
        <w:tc>
          <w:tcPr>
            <w:tcW w:type="dxa" w:w="3545"/>
          </w:tcPr>
          <w:p>
            <w:pPr>
              <w:spacing w:after="20" w:line="240" w:lineRule="auto"/>
            </w:pPr>
            <w:r>
              <w:rPr>
                <w:sz w:val="17"/>
              </w:rPr>
              <w:t>Diferencia entre los dos despachos de XM</w:t>
            </w:r>
          </w:p>
        </w:tc>
      </w:tr>
      <w:tr>
        <w:tc>
          <w:tcPr>
            <w:tcW w:type="dxa" w:w="2543"/>
            <w:shd w:val="clear" w:color="auto" w:fill="F3F6FA"/>
          </w:tcPr>
          <w:p>
            <w:pPr>
              <w:spacing w:after="20" w:line="240" w:lineRule="auto"/>
            </w:pPr>
            <w:r>
              <w:rPr>
                <w:sz w:val="17"/>
              </w:rPr>
              <w:t>cm_prog_media</w:t>
            </w:r>
          </w:p>
        </w:tc>
        <w:tc>
          <w:tcPr>
            <w:tcW w:type="dxa" w:w="3545"/>
            <w:shd w:val="clear" w:color="auto" w:fill="F3F6FA"/>
          </w:tcPr>
          <w:p>
            <w:pPr>
              <w:spacing w:after="20" w:line="240" w:lineRule="auto"/>
            </w:pPr>
            <w:r>
              <w:rPr>
                <w:sz w:val="17"/>
              </w:rPr>
              <w:t>Promedio diario del costo marginal programado</w:t>
            </w:r>
          </w:p>
        </w:tc>
        <w:tc>
          <w:tcPr>
            <w:tcW w:type="dxa" w:w="3545"/>
            <w:shd w:val="clear" w:color="auto" w:fill="F3F6FA"/>
          </w:tcPr>
          <w:p>
            <w:pPr>
              <w:spacing w:after="20" w:line="240" w:lineRule="auto"/>
            </w:pPr>
            <w:r>
              <w:rPr>
                <w:sz w:val="17"/>
              </w:rPr>
              <w:t>Nivel del día según el programado</w:t>
            </w:r>
          </w:p>
        </w:tc>
      </w:tr>
      <w:tr>
        <w:tc>
          <w:tcPr>
            <w:tcW w:type="dxa" w:w="2543"/>
          </w:tcPr>
          <w:p>
            <w:pPr>
              <w:spacing w:after="20" w:line="240" w:lineRule="auto"/>
            </w:pPr>
            <w:r>
              <w:rPr>
                <w:sz w:val="17"/>
              </w:rPr>
              <w:t>dem_prog_rel, dem_prog_dia</w:t>
            </w:r>
          </w:p>
        </w:tc>
        <w:tc>
          <w:tcPr>
            <w:tcW w:type="dxa" w:w="3545"/>
          </w:tcPr>
          <w:p>
            <w:pPr>
              <w:spacing w:after="20" w:line="240" w:lineRule="auto"/>
            </w:pPr>
            <w:r>
              <w:rPr>
                <w:sz w:val="17"/>
              </w:rPr>
              <w:t>Demanda programada relativa a su promedio diario, y ese promedio</w:t>
            </w:r>
          </w:p>
        </w:tc>
        <w:tc>
          <w:tcPr>
            <w:tcW w:type="dxa" w:w="3545"/>
          </w:tcPr>
          <w:p>
            <w:pPr>
              <w:spacing w:after="20" w:line="240" w:lineRule="auto"/>
            </w:pPr>
            <w:r>
              <w:rPr>
                <w:sz w:val="17"/>
              </w:rPr>
              <w:t>Forma y nivel de la demanda esperada</w:t>
            </w:r>
          </w:p>
        </w:tc>
      </w:tr>
    </w:tbl>
    <w:p>
      <w:pPr>
        <w:spacing w:after="0"/>
      </w:pPr>
    </w:p>
    <w:p>
      <w:pPr>
        <w:keepNext/>
        <w:spacing w:after="60"/>
      </w:pPr>
      <w:r>
        <w:rPr>
          <w:b/>
          <w:color w:val="1F4E79"/>
          <w:sz w:val="20"/>
        </w:rPr>
        <w:t>Tabla 11. Error reciente del predespacho (E) · 5 variables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43"/>
            <w:shd w:val="clear" w:color="auto" w:fill="1F4E79"/>
          </w:tcPr>
          <w:p>
            <w:pPr>
              <w:spacing w:after="20" w:line="240" w:lineRule="auto"/>
            </w:pPr>
            <w:r>
              <w:rPr>
                <w:b/>
                <w:color w:val="FFFFFF"/>
                <w:sz w:val="17"/>
              </w:rPr>
              <w:t>Variable</w:t>
            </w:r>
          </w:p>
        </w:tc>
        <w:tc>
          <w:tcPr>
            <w:tcW w:type="dxa" w:w="3545"/>
            <w:shd w:val="clear" w:color="auto" w:fill="1F4E79"/>
          </w:tcPr>
          <w:p>
            <w:pPr>
              <w:spacing w:after="20" w:line="240" w:lineRule="auto"/>
            </w:pPr>
            <w:r>
              <w:rPr>
                <w:b/>
                <w:color w:val="FFFFFF"/>
                <w:sz w:val="17"/>
              </w:rPr>
              <w:t>Definición</w:t>
            </w:r>
          </w:p>
        </w:tc>
        <w:tc>
          <w:tcPr>
            <w:tcW w:type="dxa" w:w="3545"/>
            <w:shd w:val="clear" w:color="auto" w:fill="1F4E79"/>
          </w:tcPr>
          <w:p>
            <w:pPr>
              <w:spacing w:after="20" w:line="240" w:lineRule="auto"/>
            </w:pPr>
            <w:r>
              <w:rPr>
                <w:b/>
                <w:color w:val="FFFFFF"/>
                <w:sz w:val="17"/>
              </w:rPr>
              <w:t>Por qué se incluye</w:t>
            </w:r>
          </w:p>
        </w:tc>
      </w:tr>
      <w:tr>
        <w:tc>
          <w:tcPr>
            <w:tcW w:type="dxa" w:w="2543"/>
          </w:tcPr>
          <w:p>
            <w:pPr>
              <w:spacing w:after="20" w:line="240" w:lineRule="auto"/>
            </w:pPr>
            <w:r>
              <w:rPr>
                <w:sz w:val="17"/>
              </w:rPr>
              <w:t>err_dia_d4</w:t>
            </w:r>
          </w:p>
        </w:tc>
        <w:tc>
          <w:tcPr>
            <w:tcW w:type="dxa" w:w="3545"/>
          </w:tcPr>
          <w:p>
            <w:pPr>
              <w:spacing w:after="20" w:line="240" w:lineRule="auto"/>
            </w:pPr>
            <w:r>
              <w:rPr>
                <w:sz w:val="17"/>
              </w:rPr>
              <w:t>Error medio log(precio/predespacho) del último día completo publicado (D-5)</w:t>
            </w:r>
          </w:p>
        </w:tc>
        <w:tc>
          <w:tcPr>
            <w:tcW w:type="dxa" w:w="3545"/>
          </w:tcPr>
          <w:p>
            <w:pPr>
              <w:spacing w:after="20" w:line="240" w:lineRule="auto"/>
            </w:pPr>
            <w:r>
              <w:rPr>
                <w:sz w:val="17"/>
              </w:rPr>
              <w:t>Si XM viene sobreestimando o subestimando</w:t>
            </w:r>
          </w:p>
        </w:tc>
      </w:tr>
      <w:tr>
        <w:tc>
          <w:tcPr>
            <w:tcW w:type="dxa" w:w="2543"/>
            <w:shd w:val="clear" w:color="auto" w:fill="F3F6FA"/>
          </w:tcPr>
          <w:p>
            <w:pPr>
              <w:spacing w:after="20" w:line="240" w:lineRule="auto"/>
            </w:pPr>
            <w:r>
              <w:rPr>
                <w:sz w:val="17"/>
              </w:rPr>
              <w:t>err_7d, err_30d</w:t>
            </w:r>
          </w:p>
        </w:tc>
        <w:tc>
          <w:tcPr>
            <w:tcW w:type="dxa" w:w="3545"/>
            <w:shd w:val="clear" w:color="auto" w:fill="F3F6FA"/>
          </w:tcPr>
          <w:p>
            <w:pPr>
              <w:spacing w:after="20" w:line="240" w:lineRule="auto"/>
            </w:pPr>
            <w:r>
              <w:rPr>
                <w:sz w:val="17"/>
              </w:rPr>
              <w:t>Ese error promediado en 7 y 30 días</w:t>
            </w:r>
          </w:p>
        </w:tc>
        <w:tc>
          <w:tcPr>
            <w:tcW w:type="dxa" w:w="3545"/>
            <w:shd w:val="clear" w:color="auto" w:fill="F3F6FA"/>
          </w:tcPr>
          <w:p>
            <w:pPr>
              <w:spacing w:after="20" w:line="240" w:lineRule="auto"/>
            </w:pPr>
            <w:r>
              <w:rPr>
                <w:sz w:val="17"/>
              </w:rPr>
              <w:t>Sesgo persistente del predespacho</w:t>
            </w:r>
          </w:p>
        </w:tc>
      </w:tr>
      <w:tr>
        <w:tc>
          <w:tcPr>
            <w:tcW w:type="dxa" w:w="2543"/>
          </w:tcPr>
          <w:p>
            <w:pPr>
              <w:spacing w:after="20" w:line="240" w:lineRule="auto"/>
            </w:pPr>
            <w:r>
              <w:rPr>
                <w:sz w:val="17"/>
              </w:rPr>
              <w:t>err_hora_d4, err_hora_7d</w:t>
            </w:r>
          </w:p>
        </w:tc>
        <w:tc>
          <w:tcPr>
            <w:tcW w:type="dxa" w:w="3545"/>
          </w:tcPr>
          <w:p>
            <w:pPr>
              <w:spacing w:after="20" w:line="240" w:lineRule="auto"/>
            </w:pPr>
            <w:r>
              <w:rPr>
                <w:sz w:val="17"/>
              </w:rPr>
              <w:t>El mismo error, solo para la hora pronosticada</w:t>
            </w:r>
          </w:p>
        </w:tc>
        <w:tc>
          <w:tcPr>
            <w:tcW w:type="dxa" w:w="3545"/>
          </w:tcPr>
          <w:p>
            <w:pPr>
              <w:spacing w:after="20" w:line="240" w:lineRule="auto"/>
            </w:pPr>
            <w:r>
              <w:rPr>
                <w:sz w:val="17"/>
              </w:rPr>
              <w:t>Horas en que el predespacho falla sistemáticamente</w:t>
            </w:r>
          </w:p>
        </w:tc>
      </w:tr>
    </w:tbl>
    <w:p>
      <w:pPr>
        <w:spacing w:after="0"/>
      </w:pPr>
    </w:p>
    <w:tbl>
      <w:tblPr>
        <w:tblW w:type="auto" w:w="0"/>
        <w:jc w:val="center"/>
        <w:tblLook w:firstColumn="1" w:firstRow="1" w:lastColumn="0" w:lastRow="0" w:noHBand="0" w:noVBand="1" w:val="04A0"/>
      </w:tblPr>
      <w:tblGrid>
        <w:gridCol w:w="9632"/>
      </w:tblGrid>
      <w:tr>
        <w:tc>
          <w:tcPr>
            <w:tcW w:type="dxa" w:w="9632"/>
            <w:shd w:val="clear" w:color="auto" w:fill="EAF1F8"/>
          </w:tcPr>
          <w:p>
            <w:pPr>
              <w:spacing w:after="40"/>
            </w:pPr>
            <w:r>
              <w:rPr>
                <w:b/>
                <w:sz w:val="20"/>
              </w:rPr>
              <w:t>Qué variables pesan más.</w:t>
            </w:r>
            <w:r>
              <w:rPr>
                <w:sz w:val="20"/>
              </w:rPr>
              <w:t xml:space="preserve"> La familia P (predespacho) es la que más aporta: sin ella, con solo lo publicado al corte, el mejor ensamble del informe de avance apenas mejora a la persistencia (rMAE 0,93). El precio lo fija la oferta de la planta marginal, y el predespacho es el único dato público a tiempo que ya trae esas ofertas.</w:t>
            </w:r>
          </w:p>
        </w:tc>
      </w:tr>
    </w:tbl>
    <w:p>
      <w:pPr>
        <w:spacing w:after="0"/>
      </w:pPr>
    </w:p>
    <w:p>
      <w:pPr>
        <w:pStyle w:val="Heading1"/>
      </w:pPr>
      <w:r>
        <w:t>5. Modelos finales</w:t>
      </w:r>
    </w:p>
    <w:p>
      <w:pPr>
        <w:pStyle w:val="Heading2"/>
      </w:pPr>
      <w:r>
        <w:t>5.1 Pronóstico de 24 horas</w:t>
      </w:r>
    </w:p>
    <w:p>
      <w:pPr>
        <w:jc w:val="both"/>
      </w:pPr>
      <w:r>
        <w:rPr>
          <w:b/>
        </w:rPr>
        <w:t>Paso 1. Tres CatBoost.</w:t>
      </w:r>
      <w:r>
        <w:t xml:space="preserve"> CatBoost es un modelo de árboles de decisión potenciados (gradient boosting) que maneja bien relaciones no lineales e interacciones sin necesidad de escalar las variables. Se entrenan tres, cada uno con un conjunto distinto de variables, para que se equivoquen en cosas diferentes:</w:t>
      </w:r>
    </w:p>
    <w:p>
      <w:pPr>
        <w:keepNext/>
        <w:spacing w:after="60"/>
      </w:pPr>
      <w:r>
        <w:rPr>
          <w:b/>
          <w:color w:val="1F4E79"/>
          <w:sz w:val="20"/>
        </w:rPr>
        <w:t>Tabla 12. Los tres CatBoost</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627"/>
            <w:shd w:val="clear" w:color="auto" w:fill="1F4E79"/>
          </w:tcPr>
          <w:p>
            <w:pPr>
              <w:spacing w:after="20" w:line="240" w:lineRule="auto"/>
            </w:pPr>
            <w:r>
              <w:rPr>
                <w:b/>
                <w:color w:val="FFFFFF"/>
                <w:sz w:val="18"/>
              </w:rPr>
              <w:t>Modelo</w:t>
            </w:r>
          </w:p>
        </w:tc>
        <w:tc>
          <w:tcPr>
            <w:tcW w:type="dxa" w:w="5692"/>
            <w:shd w:val="clear" w:color="auto" w:fill="1F4E79"/>
          </w:tcPr>
          <w:p>
            <w:pPr>
              <w:spacing w:after="20" w:line="240" w:lineRule="auto"/>
            </w:pPr>
            <w:r>
              <w:rPr>
                <w:b/>
                <w:color w:val="FFFFFF"/>
                <w:sz w:val="18"/>
              </w:rPr>
              <w:t>Variables</w:t>
            </w:r>
          </w:p>
        </w:tc>
        <w:tc>
          <w:tcPr>
            <w:tcW w:type="dxa" w:w="1313"/>
            <w:shd w:val="clear" w:color="auto" w:fill="1F4E79"/>
          </w:tcPr>
          <w:p>
            <w:pPr>
              <w:spacing w:after="20" w:line="240" w:lineRule="auto"/>
            </w:pPr>
            <w:r>
              <w:rPr>
                <w:b/>
                <w:color w:val="FFFFFF"/>
                <w:sz w:val="18"/>
              </w:rPr>
              <w:t>Número</w:t>
            </w:r>
          </w:p>
        </w:tc>
      </w:tr>
      <w:tr>
        <w:tc>
          <w:tcPr>
            <w:tcW w:type="dxa" w:w="2627"/>
          </w:tcPr>
          <w:p>
            <w:pPr>
              <w:spacing w:after="20" w:line="240" w:lineRule="auto"/>
            </w:pPr>
            <w:r>
              <w:rPr>
                <w:sz w:val="18"/>
              </w:rPr>
              <w:t>CatBoost R+P</w:t>
            </w:r>
          </w:p>
        </w:tc>
        <w:tc>
          <w:tcPr>
            <w:tcW w:type="dxa" w:w="5692"/>
          </w:tcPr>
          <w:p>
            <w:pPr>
              <w:spacing w:after="20" w:line="240" w:lineRule="auto"/>
            </w:pPr>
            <w:r>
              <w:rPr>
                <w:sz w:val="18"/>
              </w:rPr>
              <w:t>realistas + predespacho</w:t>
            </w:r>
          </w:p>
        </w:tc>
        <w:tc>
          <w:tcPr>
            <w:tcW w:type="dxa" w:w="1313"/>
          </w:tcPr>
          <w:p>
            <w:pPr>
              <w:spacing w:after="20" w:line="240" w:lineRule="auto"/>
            </w:pPr>
            <w:r>
              <w:rPr>
                <w:sz w:val="18"/>
              </w:rPr>
              <w:t>49</w:t>
            </w:r>
          </w:p>
        </w:tc>
      </w:tr>
      <w:tr>
        <w:tc>
          <w:tcPr>
            <w:tcW w:type="dxa" w:w="2627"/>
            <w:shd w:val="clear" w:color="auto" w:fill="F3F6FA"/>
          </w:tcPr>
          <w:p>
            <w:pPr>
              <w:spacing w:after="20" w:line="240" w:lineRule="auto"/>
            </w:pPr>
            <w:r>
              <w:rPr>
                <w:sz w:val="18"/>
              </w:rPr>
              <w:t>CatBoost R+P+F+C</w:t>
            </w:r>
          </w:p>
        </w:tc>
        <w:tc>
          <w:tcPr>
            <w:tcW w:type="dxa" w:w="5692"/>
            <w:shd w:val="clear" w:color="auto" w:fill="F3F6FA"/>
          </w:tcPr>
          <w:p>
            <w:pPr>
              <w:spacing w:after="20" w:line="240" w:lineRule="auto"/>
            </w:pPr>
            <w:r>
              <w:rPr>
                <w:sz w:val="18"/>
              </w:rPr>
              <w:t>+ forma intradía + despacho programado</w:t>
            </w:r>
          </w:p>
        </w:tc>
        <w:tc>
          <w:tcPr>
            <w:tcW w:type="dxa" w:w="1313"/>
            <w:shd w:val="clear" w:color="auto" w:fill="F3F6FA"/>
          </w:tcPr>
          <w:p>
            <w:pPr>
              <w:spacing w:after="20" w:line="240" w:lineRule="auto"/>
            </w:pPr>
            <w:r>
              <w:rPr>
                <w:sz w:val="18"/>
              </w:rPr>
              <w:t>61</w:t>
            </w:r>
          </w:p>
        </w:tc>
      </w:tr>
      <w:tr>
        <w:tc>
          <w:tcPr>
            <w:tcW w:type="dxa" w:w="2627"/>
          </w:tcPr>
          <w:p>
            <w:pPr>
              <w:spacing w:after="20" w:line="240" w:lineRule="auto"/>
            </w:pPr>
            <w:r>
              <w:rPr>
                <w:sz w:val="18"/>
              </w:rPr>
              <w:t>CatBoost R+P+E</w:t>
            </w:r>
          </w:p>
        </w:tc>
        <w:tc>
          <w:tcPr>
            <w:tcW w:type="dxa" w:w="5692"/>
          </w:tcPr>
          <w:p>
            <w:pPr>
              <w:spacing w:after="20" w:line="240" w:lineRule="auto"/>
            </w:pPr>
            <w:r>
              <w:rPr>
                <w:sz w:val="18"/>
              </w:rPr>
              <w:t>+ error reciente del predespacho</w:t>
            </w:r>
          </w:p>
        </w:tc>
        <w:tc>
          <w:tcPr>
            <w:tcW w:type="dxa" w:w="1313"/>
          </w:tcPr>
          <w:p>
            <w:pPr>
              <w:spacing w:after="20" w:line="240" w:lineRule="auto"/>
            </w:pPr>
            <w:r>
              <w:rPr>
                <w:sz w:val="18"/>
              </w:rPr>
              <w:t>54</w:t>
            </w:r>
          </w:p>
        </w:tc>
      </w:tr>
    </w:tbl>
    <w:p>
      <w:pPr>
        <w:spacing w:after="0"/>
      </w:pPr>
    </w:p>
    <w:p>
      <w:pPr>
        <w:jc w:val="both"/>
      </w:pPr>
      <w:r>
        <w:t xml:space="preserve">Configuración común: 1.500 árboles, profundidad 6, tasa de aprendizaje 0,05, </w:t>
      </w:r>
      <w:r>
        <w:rPr>
          <w:b/>
        </w:rPr>
        <w:t>pérdida MAE</w:t>
      </w:r>
      <w:r>
        <w:t xml:space="preserve"> (con lo que el modelo estima la mediana, que es robusta a los picos) y objetivo:</w:t>
      </w:r>
    </w:p>
    <w:p>
      <w:pPr>
        <w:spacing w:after="80"/>
        <w:jc w:val="center"/>
      </w:pPr>
      <m:oMath xmlns:mml="http://www.w3.org/1998/Math/MathML">
        <m:sSub>
          <m:e>
            <m:r>
              <m:t>y</m:t>
            </m:r>
          </m:e>
          <m:sub>
            <m:r>
              <m:t>t</m:t>
            </m:r>
          </m:sub>
        </m:sSub>
        <m:r>
          <m:t>=</m:t>
        </m:r>
        <m:r>
          <m:rPr>
            <m:sty m:val="p"/>
          </m:rPr>
          <m:t>ln</m:t>
        </m:r>
        <m:r>
          <m:t>(</m:t>
        </m:r>
        <m:f>
          <m:fPr>
            <m:type m:val="bar"/>
          </m:fPr>
          <m:num>
            <m:sSub>
              <m:e>
                <m:r>
                  <m:rPr>
                    <m:nor/>
                  </m:rPr>
                  <m:t>precio</m:t>
                </m:r>
              </m:e>
              <m:sub>
                <m:r>
                  <m:t>t</m:t>
                </m:r>
              </m:sub>
            </m:sSub>
          </m:num>
          <m:den>
            <m:sSub>
              <m:e>
                <m:r>
                  <m:rPr>
                    <m:nor/>
                  </m:rPr>
                  <m:t>predespacho</m:t>
                </m:r>
              </m:e>
              <m:sub>
                <m:r>
                  <m:t>t</m:t>
                </m:r>
              </m:sub>
            </m:sSub>
          </m:den>
        </m:f>
        <m:r>
          <m:t>)</m:t>
        </m:r>
      </m:oMath>
    </w:p>
    <w:p>
      <w:pPr>
        <w:jc w:val="both"/>
      </w:pPr>
      <w:r>
        <w:t>La predicción se devuelve a pesos como predespacho × e^ŷ. Trabajar con la razón hace que el modelo aprenda correcciones relativas (por ejemplo, "el precio real suele quedar 10 % por encima del predespacho en esta hora cuando el embalse está bajo") que sirven igual con precios de 200 o de 800 COP/kWh.</w:t>
      </w:r>
    </w:p>
    <w:p>
      <w:pPr>
        <w:jc w:val="both"/>
      </w:pPr>
      <w:r>
        <w:t xml:space="preserve">Los tres se </w:t>
      </w:r>
      <w:r>
        <w:rPr>
          <w:b/>
        </w:rPr>
        <w:t>reentrenan cada mes</w:t>
      </w:r>
      <w:r>
        <w:t xml:space="preserve"> con todo lo publicado hasta ese momento; en el entrenamiento solo entran objetivos cuyo precio tenía al menos 73 horas de publicado antes del corte. Luego se promedian.</w:t>
      </w:r>
    </w:p>
    <w:p>
      <w:pPr>
        <w:jc w:val="both"/>
      </w:pPr>
      <w:r>
        <w:rPr>
          <w:b/>
        </w:rPr>
        <w:t>Paso 2. Combinador causal.</w:t>
      </w:r>
      <w:r>
        <w:t xml:space="preserve"> El promedio de los CatBoost y el predespacho se mezclan con una regresión cuantílica de la mediana (QRA, </w:t>
      </w:r>
      <w:r>
        <w:rPr>
          <w:i/>
        </w:rPr>
        <w:t>quantile regression averaging</w:t>
      </w:r>
      <w:r>
        <w:t>), una por cada franja de 6 horas del día:</w:t>
      </w:r>
    </w:p>
    <w:p>
      <w:pPr>
        <w:spacing w:after="80"/>
        <w:jc w:val="center"/>
      </w:pPr>
      <m:oMath xmlns:mml="http://www.w3.org/1998/Math/MathML">
        <m:sSub>
          <m:e>
            <m:acc>
              <m:accPr>
                <m:chr m:val="̂"/>
              </m:accPr>
              <m:e>
                <m:r>
                  <m:t>p</m:t>
                </m:r>
              </m:e>
            </m:acc>
          </m:e>
          <m:sub>
            <m:r>
              <m:t>t</m:t>
            </m:r>
          </m:sub>
        </m:sSub>
        <m:r>
          <m:t>=</m:t>
        </m:r>
        <m:sSub>
          <m:e>
            <m:r>
              <m:t>w</m:t>
            </m:r>
          </m:e>
          <m:sub>
            <m:r>
              <m:t>0</m:t>
            </m:r>
          </m:sub>
        </m:sSub>
        <m:r>
          <m:t>+</m:t>
        </m:r>
        <m:sSub>
          <m:e>
            <m:r>
              <m:t>w</m:t>
            </m:r>
          </m:e>
          <m:sub>
            <m:r>
              <m:t>1</m:t>
            </m:r>
          </m:sub>
        </m:sSub>
        <m:sSub>
          <m:e>
            <m:r>
              <m:rPr>
                <m:nor/>
              </m:rPr>
              <m:t>predespacho</m:t>
            </m:r>
          </m:e>
          <m:sub>
            <m:r>
              <m:t>t</m:t>
            </m:r>
          </m:sub>
        </m:sSub>
        <m:r>
          <m:t>+</m:t>
        </m:r>
        <m:sSub>
          <m:e>
            <m:r>
              <m:t>w</m:t>
            </m:r>
          </m:e>
          <m:sub>
            <m:r>
              <m:t>2</m:t>
            </m:r>
          </m:sub>
        </m:sSub>
        <m:sSub>
          <m:e>
            <m:acc>
              <m:accPr>
                <m:chr m:val="―"/>
              </m:accPr>
              <m:e>
                <m:r>
                  <m:rPr>
                    <m:nor/>
                  </m:rPr>
                  <m:t>CatBoost</m:t>
                </m:r>
              </m:e>
            </m:acc>
          </m:e>
          <m:sub>
            <m:r>
              <m:t>t</m:t>
            </m:r>
          </m:sub>
        </m:sSub>
      </m:oMath>
    </w:p>
    <w:p>
      <w:pPr>
        <w:jc w:val="both"/>
      </w:pPr>
      <w:r>
        <w:t xml:space="preserve">Los pesos se reestiman cada día solo con días cuyo precio real ya estaba publicado: el combinador deja un margen de </w:t>
      </w:r>
      <w:r>
        <w:rPr>
          <w:b/>
        </w:rPr>
        <w:t>5 días</w:t>
      </w:r>
      <w:r>
        <w:t xml:space="preserve"> entre lo que usa para aprender y el día que pronostica (al corte de D, la ventana de D-4 aún no está completa). En promedio el predespacho recibe un peso de 0,60 y los CatBoost de 0,37, de modo que cada pronóstico se puede leer como "el predespacho de XM, corregido según el comportamiento reciente del mercado".</w:t>
      </w:r>
    </w:p>
    <w:p>
      <w:pPr>
        <w:jc w:val="both"/>
      </w:pPr>
      <w:r>
        <w:rPr>
          <w:b/>
        </w:rPr>
        <w:t>Paso 3. Bandas conformes del 80 %.</w:t>
      </w:r>
      <w:r>
        <w:t xml:space="preserve"> Para cada hora del día se toman los errores logarítmicos |ln(real/q50)| de esa misma hora en los 60 días anteriores con precio ya publicado (con el mismo margen de 5 días), y se calcula su cuantil del 80 % (con la corrección de muestra finita de la predicción conforme, nivel ⌈(n+1)·0,8⌉/n):</w:t>
      </w:r>
    </w:p>
    <w:p>
      <w:pPr>
        <w:spacing w:after="80"/>
        <w:jc w:val="center"/>
      </w:pPr>
      <m:oMath xmlns:mml="http://www.w3.org/1998/Math/MathML">
        <m:sSub>
          <m:e>
            <m:r>
              <m:t>s</m:t>
            </m:r>
          </m:e>
          <m:sub>
            <m:r>
              <m:t>i</m:t>
            </m:r>
          </m:sub>
        </m:sSub>
        <m:r>
          <m:t>=</m:t>
        </m:r>
        <m:r>
          <m:t>|</m:t>
        </m:r>
        <m:r>
          <m:rPr>
            <m:sty m:val="p"/>
          </m:rPr>
          <m:t>ln</m:t>
        </m:r>
        <m:r>
          <m:t>(</m:t>
        </m:r>
        <m:sSub>
          <m:e>
            <m:r>
              <m:rPr>
                <m:nor/>
              </m:rPr>
              <m:t>real</m:t>
            </m:r>
          </m:e>
          <m:sub>
            <m:r>
              <m:t>i</m:t>
            </m:r>
          </m:sub>
        </m:sSub>
        <m:r>
          <m:t>/q</m:t>
        </m:r>
        <m:sSub>
          <m:e>
            <m:r>
              <m:t>50</m:t>
            </m:r>
          </m:e>
          <m:sub>
            <m:r>
              <m:t>i</m:t>
            </m:r>
          </m:sub>
        </m:sSub>
        <m:r>
          <m:t>)</m:t>
        </m:r>
        <m:r>
          <m:t>|</m:t>
        </m:r>
      </m:oMath>
    </w:p>
    <w:p>
      <w:pPr>
        <w:spacing w:after="80"/>
        <w:jc w:val="center"/>
      </w:pPr>
      <m:oMath xmlns:mml="http://www.w3.org/1998/Math/MathML">
        <m:r>
          <m:t>m=</m:t>
        </m:r>
        <m:sSub>
          <m:e>
            <m:r>
              <m:t>Q</m:t>
            </m:r>
          </m:e>
          <m:sub>
            <m:r>
              <m:t>0</m:t>
            </m:r>
            <m:r>
              <m:t>,</m:t>
            </m:r>
            <m:r>
              <m:t>8</m:t>
            </m:r>
          </m:sub>
        </m:sSub>
        <m:r>
          <m:t>(</m:t>
        </m:r>
        <m:sSub>
          <m:e>
            <m:r>
              <m:t>s</m:t>
            </m:r>
          </m:e>
          <m:sub>
            <m:r>
              <m:t>i</m:t>
            </m:r>
          </m:sub>
        </m:sSub>
        <m:r>
          <m:t>)</m:t>
        </m:r>
      </m:oMath>
    </w:p>
    <w:p>
      <w:pPr>
        <w:spacing w:after="80"/>
        <w:jc w:val="center"/>
      </w:pPr>
      <m:oMath xmlns:mml="http://www.w3.org/1998/Math/MathML">
        <m:r>
          <m:t>q10=q50·</m:t>
        </m:r>
        <m:sSup>
          <m:e>
            <m:r>
              <m:t>e</m:t>
            </m:r>
          </m:e>
          <m:sup>
            <m:r>
              <m:t>−m</m:t>
            </m:r>
          </m:sup>
        </m:sSup>
      </m:oMath>
    </w:p>
    <w:p>
      <w:pPr>
        <w:spacing w:after="80"/>
        <w:jc w:val="center"/>
      </w:pPr>
      <m:oMath xmlns:mml="http://www.w3.org/1998/Math/MathML">
        <m:r>
          <m:t>q90=q50·</m:t>
        </m:r>
        <m:sSup>
          <m:e>
            <m:r>
              <m:t>e</m:t>
            </m:r>
          </m:e>
          <m:sup>
            <m:r>
              <m:t>m</m:t>
            </m:r>
          </m:sup>
        </m:sSup>
      </m:oMath>
    </w:p>
    <w:p>
      <w:pPr>
        <w:jc w:val="both"/>
      </w:pPr>
      <w:r>
        <w:t>Es un método libre de supuestos de distribución: si en los últimos 60 días el pronóstico de las 19:00 se equivocó mucho, la banda de las 19:00 se abre; si acertó, se cierra.</w:t>
      </w:r>
    </w:p>
    <w:p>
      <w:pPr>
        <w:pStyle w:val="Heading2"/>
      </w:pPr>
      <w:r>
        <w:t>5.2 Pronóstico de 72 horas</w:t>
      </w:r>
    </w:p>
    <w:p>
      <w:pPr>
        <w:jc w:val="both"/>
      </w:pPr>
      <w:r>
        <w:t>Los pasos 1 a 24 son el pronóstico de 24 h. Para los pasos 25 a 72 (días D+1 y D+2) todavía no existe predespacho, así que la referencia es el predespacho del día D y se entrenan tres CatBoost por tramo de horizonte con la misma lógica. Las bandas se calibran igual, por horizonte.</w:t>
      </w:r>
    </w:p>
    <w:p>
      <w:pPr>
        <w:pStyle w:val="Heading2"/>
      </w:pPr>
      <w:r>
        <w:t>5.3 Detector de picos y desplomes</w:t>
      </w:r>
    </w:p>
    <w:p>
      <w:pPr>
        <w:jc w:val="both"/>
      </w:pPr>
      <w:r>
        <w:t xml:space="preserve">Un clasificador de árboles potenciados (HistGradientBoosting de scikit-learn, reentrenado cada semana) estima, para cada hora, la probabilidad de dos eventos definidos respecto a la mediana del precio de la ventana: </w:t>
      </w:r>
      <w:r>
        <w:rPr>
          <w:b/>
        </w:rPr>
        <w:t>desplome</w:t>
      </w:r>
      <w:r>
        <w:t xml:space="preserve"> si el precio real queda en 0,7 veces la mediana o menos, y </w:t>
      </w:r>
      <w:r>
        <w:rPr>
          <w:b/>
        </w:rPr>
        <w:t>pico</w:t>
      </w:r>
      <w:r>
        <w:t xml:space="preserve"> si queda en 1,3 veces o más. Usa las mismas variables públicas al corte, incluido el predespacho. Sus probabilidades se muestran en el dashboard como alerta (una posibilidad, no una certeza); no modifican el pronóstico central.</w:t>
      </w:r>
    </w:p>
    <w:p>
      <w:pPr>
        <w:jc w:val="both"/>
      </w:pPr>
      <w:r>
        <w:t xml:space="preserve">Para el segundo y el tercer día del horizonte de 72 h hay un detector por día de anticipación, con lo publicado al corte (el predespacho del día del corte, no el del día pronosticado). Se validó en los cinco años históricos y en 2026 frente a la climatología (sección 9.7): el de </w:t>
      </w:r>
      <w:r>
        <w:rPr>
          <w:b/>
        </w:rPr>
        <w:t>pico</w:t>
      </w:r>
      <w:r>
        <w:t xml:space="preserve"> se publica, marcado como menos confiable que el del primer día; el de </w:t>
      </w:r>
      <w:r>
        <w:rPr>
          <w:b/>
        </w:rPr>
        <w:t>desplome</w:t>
      </w:r>
      <w:r>
        <w:t xml:space="preserve"> no, porque no supera a la climatología de forma consistente.</w:t>
      </w:r>
    </w:p>
    <w:p>
      <w:pPr>
        <w:pStyle w:val="Heading2"/>
      </w:pPr>
      <w:r>
        <w:t>5.4 Modelos que se probaron y no quedaron</w:t>
      </w:r>
    </w:p>
    <w:p>
      <w:pPr>
        <w:jc w:val="both"/>
      </w:pPr>
      <w:r>
        <w:t>El camino hasta el diseño final comparó persistencia, Prophet, XGBoost, ARX+GARCH, GARCH-ged (diseño LEAR), N-BEATSx y N-HiTS, y un ensamble de seis de ellos (el diseño del informe de avance). También se descartaron, por no mejorar o por usar información no disponible: XGBoost y LEAR sobre la razón con el predespacho, redes neuronales con predespacho, corrección de sesgo, ponderación por recencia, combinador por hora, las ofertas OFEI (fuga) y estirar la amplitud de los picos (DILATE). Las redes neuronales además resultaron muy sensibles a cambios pequeños en los datos. La sección 9.7 muestra la comparación completa, con validación en cinco años históricos, que justifica el diseño final.</w:t>
      </w:r>
    </w:p>
    <w:p>
      <w:pPr>
        <w:pStyle w:val="Heading1"/>
      </w:pPr>
      <w:r>
        <w:t>6. Motor de decisión</w:t>
      </w:r>
    </w:p>
    <w:p>
      <w:pPr>
        <w:jc w:val="both"/>
      </w:pPr>
      <w:r>
        <w:t>El motor convierte el pronóstico en una señal por hora. Compara el precio esperado q50 con dos umbrales, por defecto los percentiles 25 (P25) y 75 (P75) del precio:</w:t>
      </w:r>
    </w:p>
    <w:p>
      <w:pPr>
        <w:keepNext/>
        <w:spacing w:after="60"/>
      </w:pPr>
      <w:r>
        <w:rPr>
          <w:b/>
          <w:color w:val="1F4E79"/>
          <w:sz w:val="20"/>
        </w:rPr>
        <w:t>Tabla 13. Señales del motor</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1879"/>
            <w:shd w:val="clear" w:color="auto" w:fill="1F4E79"/>
          </w:tcPr>
          <w:p>
            <w:pPr>
              <w:spacing w:after="20" w:line="240" w:lineRule="auto"/>
            </w:pPr>
            <w:r>
              <w:rPr>
                <w:b/>
                <w:color w:val="FFFFFF"/>
                <w:sz w:val="18"/>
              </w:rPr>
              <w:t>Rol</w:t>
            </w:r>
          </w:p>
        </w:tc>
        <w:tc>
          <w:tcPr>
            <w:tcW w:type="dxa" w:w="2741"/>
            <w:shd w:val="clear" w:color="auto" w:fill="1F4E79"/>
          </w:tcPr>
          <w:p>
            <w:pPr>
              <w:spacing w:after="20" w:line="240" w:lineRule="auto"/>
            </w:pPr>
            <w:r>
              <w:rPr>
                <w:b/>
                <w:color w:val="FFFFFF"/>
                <w:sz w:val="18"/>
              </w:rPr>
              <w:t>q50 ≥ P75 (precio alto)</w:t>
            </w:r>
          </w:p>
        </w:tc>
        <w:tc>
          <w:tcPr>
            <w:tcW w:type="dxa" w:w="2506"/>
            <w:shd w:val="clear" w:color="auto" w:fill="1F4E79"/>
          </w:tcPr>
          <w:p>
            <w:pPr>
              <w:spacing w:after="20" w:line="240" w:lineRule="auto"/>
            </w:pPr>
            <w:r>
              <w:rPr>
                <w:b/>
                <w:color w:val="FFFFFF"/>
                <w:sz w:val="18"/>
              </w:rPr>
              <w:t>q50 ≤ P25 (precio bajo)</w:t>
            </w:r>
          </w:p>
        </w:tc>
        <w:tc>
          <w:tcPr>
            <w:tcW w:type="dxa" w:w="2506"/>
            <w:shd w:val="clear" w:color="auto" w:fill="1F4E79"/>
          </w:tcPr>
          <w:p>
            <w:pPr>
              <w:spacing w:after="20" w:line="240" w:lineRule="auto"/>
            </w:pPr>
            <w:r>
              <w:rPr>
                <w:b/>
                <w:color w:val="FFFFFF"/>
                <w:sz w:val="18"/>
              </w:rPr>
              <w:t>En medio o poca confianza</w:t>
            </w:r>
          </w:p>
        </w:tc>
      </w:tr>
      <w:tr>
        <w:tc>
          <w:tcPr>
            <w:tcW w:type="dxa" w:w="1879"/>
          </w:tcPr>
          <w:p>
            <w:pPr>
              <w:spacing w:after="20" w:line="240" w:lineRule="auto"/>
            </w:pPr>
            <w:r>
              <w:rPr>
                <w:sz w:val="18"/>
              </w:rPr>
              <w:t>Generador</w:t>
            </w:r>
          </w:p>
        </w:tc>
        <w:tc>
          <w:tcPr>
            <w:tcW w:type="dxa" w:w="2741"/>
          </w:tcPr>
          <w:p>
            <w:pPr>
              <w:spacing w:after="20" w:line="240" w:lineRule="auto"/>
            </w:pPr>
            <w:r>
              <w:rPr>
                <w:sz w:val="18"/>
              </w:rPr>
              <w:t>vender</w:t>
            </w:r>
          </w:p>
        </w:tc>
        <w:tc>
          <w:tcPr>
            <w:tcW w:type="dxa" w:w="2506"/>
          </w:tcPr>
          <w:p>
            <w:pPr>
              <w:spacing w:after="20" w:line="240" w:lineRule="auto"/>
            </w:pPr>
            <w:r>
              <w:rPr>
                <w:sz w:val="18"/>
              </w:rPr>
              <w:t>retener</w:t>
            </w:r>
          </w:p>
        </w:tc>
        <w:tc>
          <w:tcPr>
            <w:tcW w:type="dxa" w:w="2506"/>
          </w:tcPr>
          <w:p>
            <w:pPr>
              <w:spacing w:after="20" w:line="240" w:lineRule="auto"/>
            </w:pPr>
            <w:r>
              <w:rPr>
                <w:sz w:val="18"/>
              </w:rPr>
              <w:t>esperar</w:t>
            </w:r>
          </w:p>
        </w:tc>
      </w:tr>
      <w:tr>
        <w:tc>
          <w:tcPr>
            <w:tcW w:type="dxa" w:w="1879"/>
            <w:shd w:val="clear" w:color="auto" w:fill="F3F6FA"/>
          </w:tcPr>
          <w:p>
            <w:pPr>
              <w:spacing w:after="20" w:line="240" w:lineRule="auto"/>
            </w:pPr>
            <w:r>
              <w:rPr>
                <w:sz w:val="18"/>
              </w:rPr>
              <w:t>Comercializador</w:t>
            </w:r>
          </w:p>
        </w:tc>
        <w:tc>
          <w:tcPr>
            <w:tcW w:type="dxa" w:w="2741"/>
            <w:shd w:val="clear" w:color="auto" w:fill="F3F6FA"/>
          </w:tcPr>
          <w:p>
            <w:pPr>
              <w:spacing w:after="20" w:line="240" w:lineRule="auto"/>
            </w:pPr>
            <w:r>
              <w:rPr>
                <w:sz w:val="18"/>
              </w:rPr>
              <w:t>evitar la compra (usar contratos)</w:t>
            </w:r>
          </w:p>
        </w:tc>
        <w:tc>
          <w:tcPr>
            <w:tcW w:type="dxa" w:w="2506"/>
            <w:shd w:val="clear" w:color="auto" w:fill="F3F6FA"/>
          </w:tcPr>
          <w:p>
            <w:pPr>
              <w:spacing w:after="20" w:line="240" w:lineRule="auto"/>
            </w:pPr>
            <w:r>
              <w:rPr>
                <w:sz w:val="18"/>
              </w:rPr>
              <w:t>comprar</w:t>
            </w:r>
          </w:p>
        </w:tc>
        <w:tc>
          <w:tcPr>
            <w:tcW w:type="dxa" w:w="2506"/>
            <w:shd w:val="clear" w:color="auto" w:fill="F3F6FA"/>
          </w:tcPr>
          <w:p>
            <w:pPr>
              <w:spacing w:after="20" w:line="240" w:lineRule="auto"/>
            </w:pPr>
            <w:r>
              <w:rPr>
                <w:sz w:val="18"/>
              </w:rPr>
              <w:t>esperar</w:t>
            </w:r>
          </w:p>
        </w:tc>
      </w:tr>
    </w:tbl>
    <w:p>
      <w:pPr>
        <w:spacing w:after="0"/>
      </w:pPr>
    </w:p>
    <w:p>
      <w:pPr>
        <w:keepNext/>
        <w:spacing w:after="60"/>
      </w:pPr>
      <w:r>
        <w:rPr>
          <w:b/>
          <w:color w:val="1F4E79"/>
          <w:sz w:val="20"/>
        </w:rPr>
        <w:t>Tabla 14. Los cuatro métodos de umbral</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1445"/>
            <w:shd w:val="clear" w:color="auto" w:fill="1F4E79"/>
          </w:tcPr>
          <w:p>
            <w:pPr>
              <w:spacing w:after="20" w:line="240" w:lineRule="auto"/>
            </w:pPr>
            <w:r>
              <w:rPr>
                <w:b/>
                <w:color w:val="FFFFFF"/>
                <w:sz w:val="18"/>
              </w:rPr>
              <w:t>Método</w:t>
            </w:r>
          </w:p>
        </w:tc>
        <w:tc>
          <w:tcPr>
            <w:tcW w:type="dxa" w:w="8187"/>
            <w:shd w:val="clear" w:color="auto" w:fill="1F4E79"/>
          </w:tcPr>
          <w:p>
            <w:pPr>
              <w:spacing w:after="20" w:line="240" w:lineRule="auto"/>
            </w:pPr>
            <w:r>
              <w:rPr>
                <w:b/>
                <w:color w:val="FFFFFF"/>
                <w:sz w:val="18"/>
              </w:rPr>
              <w:t>Cómo calcula los umbrales</w:t>
            </w:r>
          </w:p>
        </w:tc>
      </w:tr>
      <w:tr>
        <w:tc>
          <w:tcPr>
            <w:tcW w:type="dxa" w:w="1445"/>
          </w:tcPr>
          <w:p>
            <w:pPr>
              <w:spacing w:after="20" w:line="240" w:lineRule="auto"/>
            </w:pPr>
            <w:r>
              <w:rPr>
                <w:sz w:val="18"/>
              </w:rPr>
              <w:t>fijo</w:t>
            </w:r>
          </w:p>
        </w:tc>
        <w:tc>
          <w:tcPr>
            <w:tcW w:type="dxa" w:w="8187"/>
          </w:tcPr>
          <w:p>
            <w:pPr>
              <w:spacing w:after="20" w:line="240" w:lineRule="auto"/>
            </w:pPr>
            <w:r>
              <w:rPr>
                <w:sz w:val="18"/>
              </w:rPr>
              <w:t>Percentiles del precio histórico 2019-2025, calculados una sola vez</w:t>
            </w:r>
          </w:p>
        </w:tc>
      </w:tr>
      <w:tr>
        <w:tc>
          <w:tcPr>
            <w:tcW w:type="dxa" w:w="1445"/>
            <w:shd w:val="clear" w:color="auto" w:fill="F3F6FA"/>
          </w:tcPr>
          <w:p>
            <w:pPr>
              <w:spacing w:after="20" w:line="240" w:lineRule="auto"/>
            </w:pPr>
            <w:r>
              <w:rPr>
                <w:sz w:val="18"/>
              </w:rPr>
              <w:t>rodante</w:t>
            </w:r>
          </w:p>
        </w:tc>
        <w:tc>
          <w:tcPr>
            <w:tcW w:type="dxa" w:w="8187"/>
            <w:shd w:val="clear" w:color="auto" w:fill="F3F6FA"/>
          </w:tcPr>
          <w:p>
            <w:pPr>
              <w:spacing w:after="20" w:line="240" w:lineRule="auto"/>
            </w:pPr>
            <w:r>
              <w:rPr>
                <w:sz w:val="18"/>
              </w:rPr>
              <w:t>Percentiles de los últimos 30 días, causales (solo pasado); se adaptan al régimen</w:t>
            </w:r>
          </w:p>
        </w:tc>
      </w:tr>
      <w:tr>
        <w:tc>
          <w:tcPr>
            <w:tcW w:type="dxa" w:w="1445"/>
          </w:tcPr>
          <w:p>
            <w:pPr>
              <w:spacing w:after="20" w:line="240" w:lineRule="auto"/>
            </w:pPr>
            <w:r>
              <w:rPr>
                <w:sz w:val="18"/>
              </w:rPr>
              <w:t>banda</w:t>
            </w:r>
          </w:p>
        </w:tc>
        <w:tc>
          <w:tcPr>
            <w:tcW w:type="dxa" w:w="8187"/>
          </w:tcPr>
          <w:p>
            <w:pPr>
              <w:spacing w:after="20" w:line="240" w:lineRule="auto"/>
            </w:pPr>
            <w:r>
              <w:rPr>
                <w:sz w:val="18"/>
              </w:rPr>
              <w:t>Como fijo, pero fuerza "esperar" cuando la banda q10-q90, relativa al precio, está por encima de su percentil 75 histórico (poca confianza)</w:t>
            </w:r>
          </w:p>
        </w:tc>
      </w:tr>
      <w:tr>
        <w:tc>
          <w:tcPr>
            <w:tcW w:type="dxa" w:w="1445"/>
            <w:shd w:val="clear" w:color="auto" w:fill="F3F6FA"/>
          </w:tcPr>
          <w:p>
            <w:pPr>
              <w:spacing w:after="20" w:line="240" w:lineRule="auto"/>
            </w:pPr>
            <w:r>
              <w:rPr>
                <w:sz w:val="18"/>
              </w:rPr>
              <w:t>híbrido</w:t>
            </w:r>
          </w:p>
        </w:tc>
        <w:tc>
          <w:tcPr>
            <w:tcW w:type="dxa" w:w="8187"/>
            <w:shd w:val="clear" w:color="auto" w:fill="F3F6FA"/>
          </w:tcPr>
          <w:p>
            <w:pPr>
              <w:spacing w:after="20" w:line="240" w:lineRule="auto"/>
            </w:pPr>
            <w:r>
              <w:rPr>
                <w:sz w:val="18"/>
              </w:rPr>
              <w:t>Umbral rodante + el filtro de confianza de banda</w:t>
            </w:r>
          </w:p>
        </w:tc>
      </w:tr>
    </w:tbl>
    <w:p>
      <w:pPr>
        <w:spacing w:after="0"/>
      </w:pPr>
    </w:p>
    <w:p>
      <w:pPr>
        <w:jc w:val="both"/>
      </w:pPr>
      <w:r>
        <w:rPr>
          <w:b/>
        </w:rPr>
        <w:t>Filtro intradía.</w:t>
      </w:r>
      <w:r>
        <w:t xml:space="preserve"> Los umbrales deciden sobre todo en qué temporada conviene la bolsa, pero casi no eligen la hora dentro del día. El filtro conserva la señal favorable (vender o comprar) solo en la mitad del día que el pronóstico pone más cara (generador) o más barata (comercializador), y la desfavorable en la mitad opuesta.</w:t>
      </w:r>
    </w:p>
    <w:p>
      <w:pPr>
        <w:jc w:val="both"/>
      </w:pPr>
      <w:r>
        <w:rPr>
          <w:b/>
        </w:rPr>
        <w:t>Selección por estabilidad.</w:t>
      </w:r>
      <w:r>
        <w:t xml:space="preserve"> Cada método se evalúa por separado en las dos mitades del periodo. Es </w:t>
      </w:r>
      <w:r>
        <w:rPr>
          <w:b/>
        </w:rPr>
        <w:t>estable</w:t>
      </w:r>
      <w:r>
        <w:t xml:space="preserve"> si en ambas mitades actúa entre el 10 % y el 40 % de las horas y su ventaja no es negativa. Entre los estables se elige el de mejor </w:t>
      </w:r>
      <w:r>
        <w:rPr>
          <w:b/>
        </w:rPr>
        <w:t>peor mitad</w:t>
      </w:r>
      <w:r>
        <w:t xml:space="preserve">, es decir, el que rinde mejor en su mitad más difícil (criterio conservador). Con los datos de 2026 el método elegido es el </w:t>
      </w:r>
      <w:r>
        <w:rPr>
          <w:b/>
        </w:rPr>
        <w:t>rodante</w:t>
      </w:r>
      <w:r>
        <w:t xml:space="preserve"> para los dos roles y los dos horizontes.</w:t>
      </w:r>
    </w:p>
    <w:p>
      <w:pPr>
        <w:pStyle w:val="Heading1"/>
      </w:pPr>
      <w:r>
        <w:t>7. Métricas de calidad: qué son y por qué se usan</w:t>
      </w:r>
    </w:p>
    <w:p>
      <w:pPr>
        <w:jc w:val="both"/>
      </w:pPr>
      <w:r>
        <w:t>Ninguna métrica sola cuenta toda la historia. Augur usa un conjunto pequeño, cada una con una pregunta concreta. En las fórmulas, y es el precio real, ŷ el pronóstico y N el número de horas.</w:t>
      </w:r>
    </w:p>
    <w:p>
      <w:pPr>
        <w:pStyle w:val="Heading2"/>
      </w:pPr>
      <w:r>
        <w:t>7.1 Error del pronóstico puntual</w:t>
      </w:r>
    </w:p>
    <w:p>
      <w:pPr>
        <w:jc w:val="both"/>
      </w:pPr>
      <w:r>
        <w:rPr>
          <w:b/>
        </w:rPr>
        <w:t>MAE, error absoluto medio (métrica principal).</w:t>
      </w:r>
    </w:p>
    <w:p>
      <w:pPr>
        <w:spacing w:after="80"/>
        <w:jc w:val="center"/>
      </w:pPr>
      <m:oMath xmlns:mml="http://www.w3.org/1998/Math/MathML">
        <m:r>
          <m:rPr>
            <m:nor/>
          </m:rPr>
          <m:t>MAE</m:t>
        </m:r>
        <m:r>
          <m:t>=</m:t>
        </m:r>
        <m:f>
          <m:fPr>
            <m:type m:val="bar"/>
          </m:fPr>
          <m:num>
            <m:r>
              <m:t>1</m:t>
            </m:r>
          </m:num>
          <m:den>
            <m:r>
              <m:t>N</m:t>
            </m:r>
          </m:den>
        </m:f>
        <m:nary>
          <m:naryPr>
            <m:chr m:val="∑"/>
            <m:limLoc m:val="undOvr"/>
            <m:grow m:val="1"/>
            <m:subHide m:val="off"/>
            <m:supHide m:val="off"/>
          </m:naryPr>
          <m:sub>
            <m:r>
              <m:t>t=1</m:t>
            </m:r>
          </m:sub>
          <m:sup>
            <m:r>
              <m:t>N</m:t>
            </m:r>
          </m:sup>
          <m:e>
            <m:r>
              <m:t>|</m:t>
            </m:r>
            <m:sSub>
              <m:e>
                <m:r>
                  <m:t>y</m:t>
                </m:r>
              </m:e>
              <m:sub>
                <m:r>
                  <m:t>t</m:t>
                </m:r>
              </m:sub>
            </m:sSub>
            <m:r>
              <m:t>−</m:t>
            </m:r>
            <m:sSub>
              <m:e>
                <m:acc>
                  <m:accPr>
                    <m:chr m:val="̂"/>
                  </m:accPr>
                  <m:e>
                    <m:r>
                      <m:t>y</m:t>
                    </m:r>
                  </m:e>
                </m:acc>
              </m:e>
              <m:sub>
                <m:r>
                  <m:t>t</m:t>
                </m:r>
              </m:sub>
            </m:sSub>
            <m:r>
              <m:t>|</m:t>
            </m:r>
          </m:e>
        </m:nary>
      </m:oMath>
    </w:p>
    <w:p>
      <w:pPr>
        <w:jc w:val="both"/>
      </w:pPr>
      <w:r>
        <w:t>Cuántos COP/kWh se equivoca el pronóstico en promedio. Se eligió como métrica principal porque está en las mismas unidades del precio (un comercializador lo entiende de inmediato), no se infla con unos pocos picos extremos y es coherente con el resto del sistema: los CatBoost y el combinador minimizan justamente el MAE, que corresponde a pronosticar la mediana. También es la métrica estándar en la literatura de pronóstico de precios de electricidad.</w:t>
      </w:r>
    </w:p>
    <w:p>
      <w:pPr>
        <w:jc w:val="both"/>
      </w:pPr>
      <w:r>
        <w:rPr>
          <w:b/>
        </w:rPr>
        <w:t>RMSE, raíz del error cuadrático medio.</w:t>
      </w:r>
    </w:p>
    <w:p>
      <w:pPr>
        <w:spacing w:after="80"/>
        <w:jc w:val="center"/>
      </w:pPr>
      <m:oMath xmlns:mml="http://www.w3.org/1998/Math/MathML">
        <m:sSub>
          <m:e>
            <m:r>
              <m:t>e</m:t>
            </m:r>
          </m:e>
          <m:sub>
            <m:r>
              <m:t>t</m:t>
            </m:r>
          </m:sub>
        </m:sSub>
        <m:r>
          <m:t>=</m:t>
        </m:r>
        <m:sSub>
          <m:e>
            <m:r>
              <m:t>y</m:t>
            </m:r>
          </m:e>
          <m:sub>
            <m:r>
              <m:t>t</m:t>
            </m:r>
          </m:sub>
        </m:sSub>
        <m:r>
          <m:t>−</m:t>
        </m:r>
        <m:sSub>
          <m:e>
            <m:acc>
              <m:accPr>
                <m:chr m:val="̂"/>
              </m:accPr>
              <m:e>
                <m:r>
                  <m:t>y</m:t>
                </m:r>
              </m:e>
            </m:acc>
          </m:e>
          <m:sub>
            <m:r>
              <m:t>t</m:t>
            </m:r>
          </m:sub>
        </m:sSub>
      </m:oMath>
    </w:p>
    <w:p>
      <w:pPr>
        <w:spacing w:after="80"/>
        <w:jc w:val="center"/>
      </w:pPr>
      <m:oMath xmlns:mml="http://www.w3.org/1998/Math/MathML">
        <m:r>
          <m:rPr>
            <m:nor/>
          </m:rPr>
          <m:t>MSE</m:t>
        </m:r>
        <m:r>
          <m:t>=</m:t>
        </m:r>
        <m:f>
          <m:fPr>
            <m:type m:val="bar"/>
          </m:fPr>
          <m:num>
            <m:r>
              <m:t>1</m:t>
            </m:r>
          </m:num>
          <m:den>
            <m:r>
              <m:t>N</m:t>
            </m:r>
          </m:den>
        </m:f>
        <m:nary>
          <m:naryPr>
            <m:chr m:val="∑"/>
            <m:limLoc m:val="undOvr"/>
            <m:grow m:val="1"/>
            <m:subHide m:val="off"/>
            <m:supHide m:val="off"/>
          </m:naryPr>
          <m:sub>
            <m:r>
              <m:t>t=1</m:t>
            </m:r>
          </m:sub>
          <m:sup>
            <m:r>
              <m:t>N</m:t>
            </m:r>
          </m:sup>
          <m:e>
            <m:sSubSup>
              <m:e>
                <m:r>
                  <m:t>e</m:t>
                </m:r>
              </m:e>
              <m:sub>
                <m:r>
                  <m:t>t</m:t>
                </m:r>
              </m:sub>
              <m:sup>
                <m:r>
                  <m:t>2</m:t>
                </m:r>
              </m:sup>
            </m:sSubSup>
          </m:e>
        </m:nary>
      </m:oMath>
    </w:p>
    <w:p>
      <w:pPr>
        <w:spacing w:after="80"/>
        <w:jc w:val="center"/>
      </w:pPr>
      <m:oMath xmlns:mml="http://www.w3.org/1998/Math/MathML">
        <m:r>
          <m:rPr>
            <m:nor/>
          </m:rPr>
          <m:t>RMSE</m:t>
        </m:r>
        <m:r>
          <m:t>=</m:t>
        </m:r>
        <m:rad>
          <m:radPr>
            <m:degHide m:val="on"/>
          </m:radPr>
          <m:deg/>
          <m:e>
            <m:r>
              <m:rPr>
                <m:nor/>
              </m:rPr>
              <m:t>MSE</m:t>
            </m:r>
          </m:e>
        </m:rad>
      </m:oMath>
    </w:p>
    <w:p>
      <w:pPr>
        <w:jc w:val="both"/>
      </w:pPr>
      <w:r>
        <w:t>Penaliza más los errores grandes. Se reporta como complemento: si el RMSE es mucho mayor que el MAE, el error está concentrado en pocas horas (los picos).</w:t>
      </w:r>
    </w:p>
    <w:p>
      <w:pPr>
        <w:jc w:val="both"/>
      </w:pPr>
      <w:r>
        <w:rPr>
          <w:b/>
        </w:rPr>
        <w:t>MAPE y sMAPE, errores porcentuales.</w:t>
      </w:r>
    </w:p>
    <w:p>
      <w:pPr>
        <w:spacing w:after="80"/>
        <w:jc w:val="center"/>
      </w:pPr>
      <m:oMath xmlns:mml="http://www.w3.org/1998/Math/MathML">
        <m:r>
          <m:rPr>
            <m:nor/>
          </m:rPr>
          <m:t>MAPE</m:t>
        </m:r>
        <m:r>
          <m:t>=</m:t>
        </m:r>
        <m:f>
          <m:fPr>
            <m:type m:val="bar"/>
          </m:fPr>
          <m:num>
            <m:r>
              <m:t>100</m:t>
            </m:r>
          </m:num>
          <m:den>
            <m:r>
              <m:t>N</m:t>
            </m:r>
          </m:den>
        </m:f>
        <m:nary>
          <m:naryPr>
            <m:chr m:val="∑"/>
            <m:limLoc m:val="undOvr"/>
            <m:grow m:val="1"/>
            <m:subHide m:val="off"/>
            <m:supHide m:val="off"/>
          </m:naryPr>
          <m:sub>
            <m:r>
              <m:t>t=1</m:t>
            </m:r>
          </m:sub>
          <m:sup>
            <m:r>
              <m:t>N</m:t>
            </m:r>
          </m:sup>
          <m:e>
            <m:r>
              <m:t>|</m:t>
            </m:r>
            <m:r>
              <m:t>(</m:t>
            </m:r>
            <m:sSub>
              <m:e>
                <m:r>
                  <m:t>y</m:t>
                </m:r>
              </m:e>
              <m:sub>
                <m:r>
                  <m:t>t</m:t>
                </m:r>
              </m:sub>
            </m:sSub>
            <m:r>
              <m:t>−</m:t>
            </m:r>
            <m:sSub>
              <m:e>
                <m:acc>
                  <m:accPr>
                    <m:chr m:val="̂"/>
                  </m:accPr>
                  <m:e>
                    <m:r>
                      <m:t>y</m:t>
                    </m:r>
                  </m:e>
                </m:acc>
              </m:e>
              <m:sub>
                <m:r>
                  <m:t>t</m:t>
                </m:r>
              </m:sub>
            </m:sSub>
            <m:r>
              <m:t>)</m:t>
            </m:r>
            <m:r>
              <m:t>/</m:t>
            </m:r>
            <m:sSub>
              <m:e>
                <m:r>
                  <m:t>y</m:t>
                </m:r>
              </m:e>
              <m:sub>
                <m:r>
                  <m:t>t</m:t>
                </m:r>
              </m:sub>
            </m:sSub>
            <m:r>
              <m:t>|</m:t>
            </m:r>
          </m:e>
        </m:nary>
      </m:oMath>
    </w:p>
    <w:p>
      <w:pPr>
        <w:spacing w:after="80"/>
        <w:jc w:val="center"/>
      </w:pPr>
      <m:oMath xmlns:mml="http://www.w3.org/1998/Math/MathML">
        <m:r>
          <m:rPr>
            <m:nor/>
          </m:rPr>
          <m:t>sMAPE</m:t>
        </m:r>
        <m:r>
          <m:t>=</m:t>
        </m:r>
        <m:f>
          <m:fPr>
            <m:type m:val="bar"/>
          </m:fPr>
          <m:num>
            <m:r>
              <m:t>100</m:t>
            </m:r>
          </m:num>
          <m:den>
            <m:r>
              <m:t>N</m:t>
            </m:r>
          </m:den>
        </m:f>
        <m:nary>
          <m:naryPr>
            <m:chr m:val="∑"/>
            <m:limLoc m:val="undOvr"/>
            <m:grow m:val="1"/>
            <m:subHide m:val="off"/>
            <m:supHide m:val="off"/>
          </m:naryPr>
          <m:sub>
            <m:r>
              <m:t>t=1</m:t>
            </m:r>
          </m:sub>
          <m:sup>
            <m:r>
              <m:t>N</m:t>
            </m:r>
          </m:sup>
          <m:e>
            <m:r>
              <m:t>(2</m:t>
            </m:r>
            <m:r>
              <m:t>|</m:t>
            </m:r>
            <m:sSub>
              <m:e>
                <m:r>
                  <m:t>y</m:t>
                </m:r>
              </m:e>
              <m:sub>
                <m:r>
                  <m:t>t</m:t>
                </m:r>
              </m:sub>
            </m:sSub>
            <m:r>
              <m:t>−</m:t>
            </m:r>
            <m:sSub>
              <m:e>
                <m:acc>
                  <m:accPr>
                    <m:chr m:val="̂"/>
                  </m:accPr>
                  <m:e>
                    <m:r>
                      <m:t>y</m:t>
                    </m:r>
                  </m:e>
                </m:acc>
              </m:e>
              <m:sub>
                <m:r>
                  <m:t>t</m:t>
                </m:r>
              </m:sub>
            </m:sSub>
            <m:r>
              <m:t>|</m:t>
            </m:r>
            <m:r>
              <m:t>/</m:t>
            </m:r>
            <m:r>
              <m:t>(</m:t>
            </m:r>
            <m:r>
              <m:t>|</m:t>
            </m:r>
            <m:sSub>
              <m:e>
                <m:r>
                  <m:t>y</m:t>
                </m:r>
              </m:e>
              <m:sub>
                <m:r>
                  <m:t>t</m:t>
                </m:r>
              </m:sub>
            </m:sSub>
            <m:r>
              <m:t>|</m:t>
            </m:r>
            <m:r>
              <m:t>+</m:t>
            </m:r>
            <m:r>
              <m:t>|</m:t>
            </m:r>
            <m:sSub>
              <m:e>
                <m:acc>
                  <m:accPr>
                    <m:chr m:val="̂"/>
                  </m:accPr>
                  <m:e>
                    <m:r>
                      <m:t>y</m:t>
                    </m:r>
                  </m:e>
                </m:acc>
              </m:e>
              <m:sub>
                <m:r>
                  <m:t>t</m:t>
                </m:r>
              </m:sub>
            </m:sSub>
            <m:r>
              <m:t>|</m:t>
            </m:r>
            <m:r>
              <m:t>)</m:t>
            </m:r>
            <m:r>
              <m:t>)</m:t>
            </m:r>
          </m:e>
        </m:nary>
      </m:oMath>
    </w:p>
    <w:p>
      <w:pPr>
        <w:jc w:val="both"/>
      </w:pPr>
      <w:r>
        <w:t>Expresan el error como porcentaje del precio y permiten comparar con trabajos de otros periodos o países, donde el nivel de precios es distinto. El MAPE se dispara cuando el precio real es muy bajo; el sMAPE lo corrige dividiendo por el promedio de real y pronóstico.</w:t>
      </w:r>
    </w:p>
    <w:p>
      <w:pPr>
        <w:jc w:val="both"/>
      </w:pPr>
      <w:r>
        <w:rPr>
          <w:b/>
        </w:rPr>
        <w:t>Sesgo.</w:t>
      </w:r>
      <w:r>
        <w:t xml:space="preserve"> Promedio de (pronóstico − real). Dice si el modelo tiende a quedarse corto o a pasarse; en 2026 el sesgo del diseño definitivo es 0,19 COP/kWh, prácticamente cero.</w:t>
      </w:r>
    </w:p>
    <w:p>
      <w:pPr>
        <w:pStyle w:val="Heading2"/>
      </w:pPr>
      <w:r>
        <w:t>7.2 Comparación contra una referencia</w:t>
      </w:r>
    </w:p>
    <w:p>
      <w:pPr>
        <w:jc w:val="both"/>
      </w:pPr>
      <w:r>
        <w:rPr>
          <w:b/>
        </w:rPr>
        <w:t>rMAE, MAE relativo a la persistencia.</w:t>
      </w:r>
    </w:p>
    <w:p>
      <w:pPr>
        <w:spacing w:after="80"/>
        <w:jc w:val="center"/>
      </w:pPr>
      <m:oMath xmlns:mml="http://www.w3.org/1998/Math/MathML">
        <m:r>
          <m:rPr>
            <m:nor/>
          </m:rPr>
          <m:t>rMAE</m:t>
        </m:r>
        <m:r>
          <m:t>=</m:t>
        </m:r>
        <m:f>
          <m:fPr>
            <m:type m:val="bar"/>
          </m:fPr>
          <m:num>
            <m:sSub>
              <m:e>
                <m:r>
                  <m:rPr>
                    <m:nor/>
                  </m:rPr>
                  <m:t>MAE</m:t>
                </m:r>
              </m:e>
              <m:sub>
                <m:r>
                  <m:rPr>
                    <m:nor/>
                  </m:rPr>
                  <m:t>modelo</m:t>
                </m:r>
              </m:sub>
            </m:sSub>
          </m:num>
          <m:den>
            <m:sSub>
              <m:e>
                <m:r>
                  <m:rPr>
                    <m:nor/>
                  </m:rPr>
                  <m:t>MAE</m:t>
                </m:r>
              </m:e>
              <m:sub>
                <m:r>
                  <m:rPr>
                    <m:nor/>
                  </m:rPr>
                  <m:t>persistencia</m:t>
                </m:r>
              </m:sub>
            </m:sSub>
          </m:den>
        </m:f>
      </m:oMath>
    </w:p>
    <w:p>
      <w:pPr>
        <w:jc w:val="both"/>
      </w:pPr>
      <w:r>
        <w:t>La persistencia es el pronóstico más simple posible: repetir el último precio publicado de la misma hora (en el escenario realista, el de hace 96 h). Un rMAE menor que 1 significa que el modelo aporta algo; 0,32 significa que comete el 32 % del error de la persistencia. Se usa porque un MAE de 30 COP/kWh es excelente en un mes tranquilo y mediocre en uno volátil: dividir por la persistencia del mismo periodo hace comparables meses, años y regímenes.</w:t>
      </w:r>
    </w:p>
    <w:p>
      <w:pPr>
        <w:jc w:val="both"/>
      </w:pPr>
      <w:r>
        <w:rPr>
          <w:b/>
        </w:rPr>
        <w:t>Prueba de Diebold-Mariano (DM).</w:t>
      </w:r>
      <w:r>
        <w:t xml:space="preserve"> Un MAE más bajo puede ser suerte. La prueba DM compara, hora a hora, la diferencia de pérdidas entre dos pronósticos:</w:t>
      </w:r>
    </w:p>
    <w:p>
      <w:pPr>
        <w:spacing w:after="80"/>
        <w:jc w:val="center"/>
      </w:pPr>
      <m:oMath xmlns:mml="http://www.w3.org/1998/Math/MathML">
        <m:sSub>
          <m:e>
            <m:r>
              <m:t>d</m:t>
            </m:r>
          </m:e>
          <m:sub>
            <m:r>
              <m:t>t</m:t>
            </m:r>
          </m:sub>
        </m:sSub>
        <m:r>
          <m:t>=</m:t>
        </m:r>
        <m:r>
          <m:t>|</m:t>
        </m:r>
        <m:sSubSup>
          <m:e>
            <m:r>
              <m:t>e</m:t>
            </m:r>
          </m:e>
          <m:sub>
            <m:r>
              <m:t>t</m:t>
            </m:r>
          </m:sub>
          <m:sup>
            <m:r>
              <m:t>A</m:t>
            </m:r>
          </m:sup>
        </m:sSubSup>
        <m:r>
          <m:t>|</m:t>
        </m:r>
        <m:r>
          <m:t>−</m:t>
        </m:r>
        <m:r>
          <m:t>|</m:t>
        </m:r>
        <m:sSubSup>
          <m:e>
            <m:r>
              <m:t>e</m:t>
            </m:r>
          </m:e>
          <m:sub>
            <m:r>
              <m:t>t</m:t>
            </m:r>
          </m:sub>
          <m:sup>
            <m:r>
              <m:t>B</m:t>
            </m:r>
          </m:sup>
        </m:sSubSup>
        <m:r>
          <m:t>|</m:t>
        </m:r>
      </m:oMath>
    </w:p>
    <w:p>
      <w:pPr>
        <w:spacing w:after="80"/>
        <w:jc w:val="center"/>
      </w:pPr>
      <m:oMath xmlns:mml="http://www.w3.org/1998/Math/MathML">
        <m:r>
          <m:rPr>
            <m:nor/>
          </m:rPr>
          <m:t>DM</m:t>
        </m:r>
        <m:r>
          <m:t>=</m:t>
        </m:r>
        <m:f>
          <m:fPr>
            <m:type m:val="bar"/>
          </m:fPr>
          <m:num>
            <m:bar>
              <m:barPr>
                <m:pos m:val="top"/>
              </m:barPr>
              <m:e>
                <m:r>
                  <m:t>d</m:t>
                </m:r>
              </m:e>
            </m:bar>
          </m:num>
          <m:den>
            <m:r>
              <m:t>s</m:t>
            </m:r>
          </m:den>
        </m:f>
      </m:oMath>
    </w:p>
    <w:p>
      <w:pPr>
        <w:jc w:val="both"/>
      </w:pPr>
      <w:r>
        <w:t>donde d̄ es el promedio de las diferencias y s su error estándar. La varianza se estima con el método HAC (robusto a la autocorrelación), porque los errores de horas seguidas no son independientes. DM positivo significa que B se equivoca menos que A; con |DM| &gt; 1,65 la diferencia es significativa al 5 % en una cola. Se exigió esta prueba para adoptar cualquier cambio: una variante solo entra si mejora con significancia.</w:t>
      </w:r>
    </w:p>
    <w:p>
      <w:pPr>
        <w:pStyle w:val="Heading2"/>
      </w:pPr>
      <w:r>
        <w:t>7.3 Calidad de la incertidumbre</w:t>
      </w:r>
    </w:p>
    <w:p>
      <w:pPr>
        <w:jc w:val="both"/>
      </w:pPr>
      <w:r>
        <w:rPr>
          <w:b/>
        </w:rPr>
        <w:t>Cobertura.</w:t>
      </w:r>
      <w:r>
        <w:t xml:space="preserve"> Porcentaje de horas en que el precio real cayó dentro de la banda q10-q90. Como es una banda del 80 %, lo ideal es que la cobertura sea cercana al 80 %: si es mucho menor, la banda promete más confianza de la que tiene; si es mucho mayor, es innecesariamente ancha. En 2026: 80,6 %.</w:t>
      </w:r>
    </w:p>
    <w:p>
      <w:pPr>
        <w:jc w:val="both"/>
      </w:pPr>
      <w:r>
        <w:rPr>
          <w:b/>
        </w:rPr>
        <w:t>Ancho medio de la banda.</w:t>
      </w:r>
      <w:r>
        <w:t xml:space="preserve"> Promedio de q90 − q10. A igual cobertura, una banda más angosta es más útil.</w:t>
      </w:r>
    </w:p>
    <w:p>
      <w:pPr>
        <w:jc w:val="both"/>
      </w:pPr>
      <w:r>
        <w:rPr>
          <w:b/>
        </w:rPr>
        <w:t>Puntaje de Winkler.</w:t>
      </w:r>
      <w:r>
        <w:t xml:space="preserve"> Une las dos anteriores en un solo número (menor es mejor):</w:t>
      </w:r>
    </w:p>
    <w:p>
      <w:pPr>
        <w:spacing w:after="80"/>
        <w:jc w:val="center"/>
      </w:pPr>
      <m:oMath xmlns:mml="http://www.w3.org/1998/Math/MathML">
        <m:sSub>
          <m:e>
            <m:r>
              <m:t>W</m:t>
            </m:r>
          </m:e>
          <m:sub>
            <m:r>
              <m:t>t</m:t>
            </m:r>
          </m:sub>
        </m:sSub>
        <m:r>
          <m:t>=(q</m:t>
        </m:r>
        <m:sSub>
          <m:e>
            <m:r>
              <m:t>90</m:t>
            </m:r>
          </m:e>
          <m:sub>
            <m:r>
              <m:t>t</m:t>
            </m:r>
          </m:sub>
        </m:sSub>
        <m:r>
          <m:t>−q</m:t>
        </m:r>
        <m:sSub>
          <m:e>
            <m:r>
              <m:t>10</m:t>
            </m:r>
          </m:e>
          <m:sub>
            <m:r>
              <m:t>t</m:t>
            </m:r>
          </m:sub>
        </m:sSub>
        <m:r>
          <m:t>)+</m:t>
        </m:r>
        <m:f>
          <m:fPr>
            <m:type m:val="bar"/>
          </m:fPr>
          <m:num>
            <m:r>
              <m:t>2</m:t>
            </m:r>
          </m:num>
          <m:den>
            <m:r>
              <m:t>α</m:t>
            </m:r>
          </m:den>
        </m:f>
        <m:r>
          <m:t>(q</m:t>
        </m:r>
        <m:sSub>
          <m:e>
            <m:r>
              <m:t>10</m:t>
            </m:r>
          </m:e>
          <m:sub>
            <m:r>
              <m:t>t</m:t>
            </m:r>
          </m:sub>
        </m:sSub>
        <m:r>
          <m:t>−</m:t>
        </m:r>
        <m:sSub>
          <m:e>
            <m:r>
              <m:t>y</m:t>
            </m:r>
          </m:e>
          <m:sub>
            <m:r>
              <m:t>t</m:t>
            </m:r>
          </m:sub>
        </m:sSub>
        <m:r>
          <m:t>)</m:t>
        </m:r>
        <m:r>
          <m:rPr>
            <m:scr m:val="double-struck"/>
            <m:sty m:val="p"/>
          </m:rPr>
          <m:t>1</m:t>
        </m:r>
        <m:r>
          <m:t>[</m:t>
        </m:r>
        <m:sSub>
          <m:e>
            <m:r>
              <m:t>y</m:t>
            </m:r>
          </m:e>
          <m:sub>
            <m:r>
              <m:t>t</m:t>
            </m:r>
          </m:sub>
        </m:sSub>
        <m:r>
          <m:t>&lt;q</m:t>
        </m:r>
        <m:sSub>
          <m:e>
            <m:r>
              <m:t>10</m:t>
            </m:r>
          </m:e>
          <m:sub>
            <m:r>
              <m:t>t</m:t>
            </m:r>
          </m:sub>
        </m:sSub>
        <m:r>
          <m:t>]+</m:t>
        </m:r>
        <m:f>
          <m:fPr>
            <m:type m:val="bar"/>
          </m:fPr>
          <m:num>
            <m:r>
              <m:t>2</m:t>
            </m:r>
          </m:num>
          <m:den>
            <m:r>
              <m:t>α</m:t>
            </m:r>
          </m:den>
        </m:f>
        <m:r>
          <m:t>(</m:t>
        </m:r>
        <m:sSub>
          <m:e>
            <m:r>
              <m:t>y</m:t>
            </m:r>
          </m:e>
          <m:sub>
            <m:r>
              <m:t>t</m:t>
            </m:r>
          </m:sub>
        </m:sSub>
        <m:r>
          <m:t>−q</m:t>
        </m:r>
        <m:sSub>
          <m:e>
            <m:r>
              <m:t>90</m:t>
            </m:r>
          </m:e>
          <m:sub>
            <m:r>
              <m:t>t</m:t>
            </m:r>
          </m:sub>
        </m:sSub>
        <m:r>
          <m:t>)</m:t>
        </m:r>
        <m:r>
          <m:rPr>
            <m:scr m:val="double-struck"/>
            <m:sty m:val="p"/>
          </m:rPr>
          <m:t>1</m:t>
        </m:r>
        <m:r>
          <m:t>[</m:t>
        </m:r>
        <m:sSub>
          <m:e>
            <m:r>
              <m:t>y</m:t>
            </m:r>
          </m:e>
          <m:sub>
            <m:r>
              <m:t>t</m:t>
            </m:r>
          </m:sub>
        </m:sSub>
        <m:r>
          <m:t>&gt;q</m:t>
        </m:r>
        <m:sSub>
          <m:e>
            <m:r>
              <m:t>90</m:t>
            </m:r>
          </m:e>
          <m:sub>
            <m:r>
              <m:t>t</m:t>
            </m:r>
          </m:sub>
        </m:sSub>
        <m:r>
          <m:t>]</m:t>
        </m:r>
      </m:oMath>
    </w:p>
    <w:p>
      <w:pPr>
        <w:jc w:val="both"/>
      </w:pPr>
      <w:r>
        <w:t>con α = 0,2. Premia bandas angostas y castiga cada vez que el precio se sale, en proporción a cuánto se sale. Se usó para comparar variantes de bandas con la misma cobertura.</w:t>
      </w:r>
    </w:p>
    <w:p>
      <w:pPr>
        <w:pStyle w:val="Heading2"/>
      </w:pPr>
      <w:r>
        <w:t>7.4 Calidad del detector de eventos</w:t>
      </w:r>
    </w:p>
    <w:p>
      <w:pPr>
        <w:pStyle w:val="ListBullet"/>
        <w:spacing w:after="60"/>
      </w:pPr>
      <w:r>
        <w:rPr>
          <w:b/>
        </w:rPr>
        <w:t>Puntaje de Brier:</w:t>
      </w:r>
      <w:r>
        <w:t xml:space="preserve"> error cuadrático medio de la probabilidad, (p − evento)², donde evento vale 0 o 1. Menor es mejor.</w:t>
      </w:r>
    </w:p>
    <w:p>
      <w:pPr>
        <w:pStyle w:val="ListBullet"/>
        <w:spacing w:after="60"/>
      </w:pPr>
      <w:r>
        <w:rPr>
          <w:b/>
        </w:rPr>
        <w:t>BSS (Brier Skill Score):</w:t>
      </w:r>
      <w:r>
        <w:t xml:space="preserve"> mejora del Brier frente a la climatología (la frecuencia histórica del evento a esa hora). Positivo significa que el detector sabe más que "lo que suele pasar".</w:t>
      </w:r>
    </w:p>
    <w:p>
      <w:pPr>
        <w:pStyle w:val="ListBullet"/>
        <w:spacing w:after="60"/>
      </w:pPr>
      <w:r>
        <w:rPr>
          <w:b/>
        </w:rPr>
        <w:t>AUC:</w:t>
      </w:r>
      <w:r>
        <w:t xml:space="preserve"> probabilidad de que el detector asigne más riesgo a una hora con evento que a una sin evento. 0,5 es azar, 1 es perfecto. Es independiente del umbral de alerta.</w:t>
      </w:r>
    </w:p>
    <w:p>
      <w:pPr>
        <w:pStyle w:val="ListBullet"/>
        <w:spacing w:after="60"/>
      </w:pPr>
      <w:r>
        <w:rPr>
          <w:b/>
        </w:rPr>
        <w:t>Precisión promedio:</w:t>
      </w:r>
      <w:r>
        <w:t xml:space="preserve"> resume cuántas de las alertas son eventos reales; útil porque los eventos son raros (en 2026 hubo 566 horas de pico y 199 de desplome en 5.184).</w:t>
      </w:r>
    </w:p>
    <w:p>
      <w:pPr>
        <w:pStyle w:val="Heading2"/>
      </w:pPr>
      <w:r>
        <w:t>7.5 Calidad de la decisión</w:t>
      </w:r>
    </w:p>
    <w:p>
      <w:pPr>
        <w:pStyle w:val="ListBullet"/>
        <w:spacing w:after="60"/>
      </w:pPr>
      <w:r>
        <w:rPr>
          <w:b/>
        </w:rPr>
        <w:t>Ventaja (COP/kWh):</w:t>
      </w:r>
      <w:r>
        <w:t xml:space="preserve"> para el generador, precio real promedio en las horas en que el motor dice vender menos el precio promedio del periodo; para el comercializador, al revés (promedio del periodo menos el precio en las horas de comprar). Positivo significa que la regla encuentra horas mejores que el promedio.</w:t>
      </w:r>
    </w:p>
    <w:p>
      <w:pPr>
        <w:pStyle w:val="ListBullet"/>
        <w:spacing w:after="60"/>
      </w:pPr>
      <w:r>
        <w:rPr>
          <w:b/>
        </w:rPr>
        <w:t>Frecuencia de acción:</w:t>
      </w:r>
      <w:r>
        <w:t xml:space="preserve"> porcentaje de horas con señal de actuar. Se exige entre 10 % y 40 %: una regla que casi nunca actúa o que actúa siempre no sirve, aunque su ventaja se vea bien.</w:t>
      </w:r>
    </w:p>
    <w:p>
      <w:pPr>
        <w:pStyle w:val="ListBullet"/>
        <w:spacing w:after="60"/>
      </w:pPr>
      <w:r>
        <w:rPr>
          <w:b/>
        </w:rPr>
        <w:t>Peor mitad y estabilidad:</w:t>
      </w:r>
      <w:r>
        <w:t xml:space="preserve"> la ventaja en la mitad más difícil del periodo; protege contra reglas que solo funcionaron en una racha.</w:t>
      </w:r>
    </w:p>
    <w:tbl>
      <w:tblPr>
        <w:tblW w:type="auto" w:w="0"/>
        <w:jc w:val="center"/>
        <w:tblLook w:firstColumn="1" w:firstRow="1" w:lastColumn="0" w:lastRow="0" w:noHBand="0" w:noVBand="1" w:val="04A0"/>
      </w:tblPr>
      <w:tblGrid>
        <w:gridCol w:w="9632"/>
      </w:tblGrid>
      <w:tr>
        <w:tc>
          <w:tcPr>
            <w:tcW w:type="dxa" w:w="9632"/>
            <w:shd w:val="clear" w:color="auto" w:fill="EAF1F8"/>
          </w:tcPr>
          <w:p>
            <w:pPr>
              <w:spacing w:after="40"/>
            </w:pPr>
            <w:r>
              <w:rPr>
                <w:b/>
                <w:sz w:val="20"/>
              </w:rPr>
              <w:t>Por qué importa.</w:t>
            </w:r>
            <w:r>
              <w:rPr>
                <w:sz w:val="20"/>
              </w:rPr>
              <w:t xml:space="preserve"> El objetivo del proyecto no es solo un MAE bajo: lo que le sirve al usuario es acertar las rampas y los cambios de nivel dentro del día. Por eso se miden también el error en las horas de rampa, la detección de eventos y la ventaja económica del motor. Un modelo con mejor MAE no siempre toma mejores decisiones.</w:t>
            </w:r>
          </w:p>
        </w:tc>
      </w:tr>
    </w:tbl>
    <w:p>
      <w:pPr>
        <w:spacing w:after="0"/>
      </w:pPr>
    </w:p>
    <w:p>
      <w:pPr>
        <w:pStyle w:val="Heading1"/>
      </w:pPr>
      <w:r>
        <w:t>8. Cómo se validó</w:t>
      </w:r>
    </w:p>
    <w:p>
      <w:pPr>
        <w:pStyle w:val="ListBullet"/>
        <w:spacing w:after="60"/>
      </w:pPr>
      <w:r>
        <w:rPr>
          <w:b/>
        </w:rPr>
        <w:t>Fuera de muestra:</w:t>
      </w:r>
      <w:r>
        <w:t xml:space="preserve"> todo 2026 (enero a agosto, 5.184 horas) se pronosticó sin haberlo usado para entrenar. La operación en vivo (desde el 5 de agosto) es una segunda prueba, completamente a ciegas.</w:t>
      </w:r>
    </w:p>
    <w:p>
      <w:pPr>
        <w:pStyle w:val="ListBullet"/>
        <w:spacing w:after="60"/>
      </w:pPr>
      <w:r>
        <w:rPr>
          <w:b/>
        </w:rPr>
        <w:t>Causalidad estricta:</w:t>
      </w:r>
      <w:r>
        <w:t xml:space="preserve"> reentrenamiento mensual, combinador y bandas con margen de 5 días; en ningún punto se usa un precio que no estuviera publicado al corte. Se auditaron las fechas de publicación de cada fuente.</w:t>
      </w:r>
    </w:p>
    <w:p>
      <w:pPr>
        <w:pStyle w:val="ListBullet"/>
        <w:spacing w:after="60"/>
      </w:pPr>
      <w:r>
        <w:rPr>
          <w:b/>
        </w:rPr>
        <w:t>Validación histórica (walk-forward):</w:t>
      </w:r>
      <w:r>
        <w:t xml:space="preserve"> cinco orígenes, uno por año de julio de 2020 a junio de 2025, que cubren La Niña, años neutros y el fuerte El Niño de 2023-2024. En cada uno se entrena solo con lo anterior y se pronostica el año siguiente. Sirve para confirmar que las decisiones tomadas mirando 2026 no son un sobreajuste.</w:t>
      </w:r>
    </w:p>
    <w:p>
      <w:pPr>
        <w:pStyle w:val="ListBullet"/>
        <w:spacing w:after="60"/>
      </w:pPr>
      <w:r>
        <w:rPr>
          <w:b/>
        </w:rPr>
        <w:t>Prueba de significancia:</w:t>
      </w:r>
      <w:r>
        <w:t xml:space="preserve"> Diebold-Mariano con varianza HAC para cada comparación y para cada cambio adoptado.</w:t>
      </w:r>
    </w:p>
    <w:p>
      <w:pPr>
        <w:pStyle w:val="ListBullet"/>
        <w:spacing w:after="60"/>
      </w:pPr>
      <w:r>
        <w:rPr>
          <w:b/>
        </w:rPr>
        <w:t>Referencias justas:</w:t>
      </w:r>
      <w:r>
        <w:t xml:space="preserve"> la persistencia y el predespacho se evalúan exactamente en las mismas horas y con la misma información que el modelo.</w:t>
      </w:r>
    </w:p>
    <w:p>
      <w:pPr>
        <w:pStyle w:val="Heading1"/>
      </w:pPr>
      <w:r>
        <w:t>9. Resultados</w:t>
      </w:r>
    </w:p>
    <w:p>
      <w:pPr>
        <w:pStyle w:val="Heading2"/>
      </w:pPr>
      <w:r>
        <w:t>9.1 Pronóstico de 24 horas en 2026</w:t>
      </w:r>
    </w:p>
    <w:p>
      <w:pPr>
        <w:keepNext/>
        <w:spacing w:after="60"/>
      </w:pPr>
      <w:r>
        <w:rPr>
          <w:b/>
          <w:color w:val="1F4E79"/>
          <w:sz w:val="20"/>
        </w:rPr>
        <w:t>Tabla 15. Todos los modelos con la misma información pública al corte (2026, 4.848 horas comunes)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tblHeader w:val="true"/>
        </w:trPr>
        <w:tc>
          <w:tcPr>
            <w:tcW w:type="dxa" w:w="4105"/>
            <w:shd w:val="clear" w:color="auto" w:fill="1F4E79"/>
          </w:tcPr>
          <w:p>
            <w:pPr>
              <w:spacing w:after="20" w:line="240" w:lineRule="auto"/>
            </w:pPr>
            <w:r>
              <w:rPr>
                <w:b/>
                <w:color w:val="FFFFFF"/>
                <w:sz w:val="18"/>
              </w:rPr>
              <w:t>Modelo</w:t>
            </w:r>
          </w:p>
        </w:tc>
        <w:tc>
          <w:tcPr>
            <w:tcW w:type="dxa" w:w="1026"/>
            <w:shd w:val="clear" w:color="auto" w:fill="1F4E79"/>
          </w:tcPr>
          <w:p>
            <w:pPr>
              <w:spacing w:after="20" w:line="240" w:lineRule="auto"/>
            </w:pPr>
            <w:r>
              <w:rPr>
                <w:b/>
                <w:color w:val="FFFFFF"/>
                <w:sz w:val="18"/>
              </w:rPr>
              <w:t>MAE</w:t>
            </w:r>
          </w:p>
        </w:tc>
        <w:tc>
          <w:tcPr>
            <w:tcW w:type="dxa" w:w="1026"/>
            <w:shd w:val="clear" w:color="auto" w:fill="1F4E79"/>
          </w:tcPr>
          <w:p>
            <w:pPr>
              <w:spacing w:after="20" w:line="240" w:lineRule="auto"/>
            </w:pPr>
            <w:r>
              <w:rPr>
                <w:b/>
                <w:color w:val="FFFFFF"/>
                <w:sz w:val="18"/>
              </w:rPr>
              <w:t>RMSE</w:t>
            </w:r>
          </w:p>
        </w:tc>
        <w:tc>
          <w:tcPr>
            <w:tcW w:type="dxa" w:w="1026"/>
            <w:shd w:val="clear" w:color="auto" w:fill="1F4E79"/>
          </w:tcPr>
          <w:p>
            <w:pPr>
              <w:spacing w:after="20" w:line="240" w:lineRule="auto"/>
            </w:pPr>
            <w:r>
              <w:rPr>
                <w:b/>
                <w:color w:val="FFFFFF"/>
                <w:sz w:val="18"/>
              </w:rPr>
              <w:t>MAPE</w:t>
            </w:r>
          </w:p>
        </w:tc>
        <w:tc>
          <w:tcPr>
            <w:tcW w:type="dxa" w:w="947"/>
            <w:shd w:val="clear" w:color="auto" w:fill="1F4E79"/>
          </w:tcPr>
          <w:p>
            <w:pPr>
              <w:spacing w:after="20" w:line="240" w:lineRule="auto"/>
            </w:pPr>
            <w:r>
              <w:rPr>
                <w:b/>
                <w:color w:val="FFFFFF"/>
                <w:sz w:val="18"/>
              </w:rPr>
              <w:t>rMAE</w:t>
            </w:r>
          </w:p>
        </w:tc>
        <w:tc>
          <w:tcPr>
            <w:tcW w:type="dxa" w:w="1500"/>
            <w:shd w:val="clear" w:color="auto" w:fill="1F4E79"/>
          </w:tcPr>
          <w:p>
            <w:pPr>
              <w:spacing w:after="20" w:line="240" w:lineRule="auto"/>
            </w:pPr>
            <w:r>
              <w:rPr>
                <w:b/>
                <w:color w:val="FFFFFF"/>
                <w:sz w:val="18"/>
              </w:rPr>
              <w:t>DM vs persistencia</w:t>
            </w:r>
          </w:p>
        </w:tc>
      </w:tr>
      <w:tr>
        <w:tc>
          <w:tcPr>
            <w:tcW w:type="dxa" w:w="4105"/>
          </w:tcPr>
          <w:p>
            <w:pPr>
              <w:spacing w:after="20" w:line="240" w:lineRule="auto"/>
            </w:pPr>
            <w:r>
              <w:rPr>
                <w:sz w:val="18"/>
              </w:rPr>
              <w:t>Persistencia (precio publicado más reciente)</w:t>
            </w:r>
          </w:p>
        </w:tc>
        <w:tc>
          <w:tcPr>
            <w:tcW w:type="dxa" w:w="1026"/>
          </w:tcPr>
          <w:p>
            <w:pPr>
              <w:spacing w:after="20" w:line="240" w:lineRule="auto"/>
            </w:pPr>
            <w:r>
              <w:rPr>
                <w:sz w:val="18"/>
              </w:rPr>
              <w:t>108,8</w:t>
            </w:r>
          </w:p>
        </w:tc>
        <w:tc>
          <w:tcPr>
            <w:tcW w:type="dxa" w:w="1026"/>
          </w:tcPr>
          <w:p>
            <w:pPr>
              <w:spacing w:after="20" w:line="240" w:lineRule="auto"/>
            </w:pPr>
            <w:r>
              <w:rPr>
                <w:sz w:val="18"/>
              </w:rPr>
              <w:t>172,5</w:t>
            </w:r>
          </w:p>
        </w:tc>
        <w:tc>
          <w:tcPr>
            <w:tcW w:type="dxa" w:w="1026"/>
          </w:tcPr>
          <w:p>
            <w:pPr>
              <w:spacing w:after="20" w:line="240" w:lineRule="auto"/>
            </w:pPr>
            <w:r>
              <w:rPr>
                <w:sz w:val="18"/>
              </w:rPr>
              <w:t>30,4 %</w:t>
            </w:r>
          </w:p>
        </w:tc>
        <w:tc>
          <w:tcPr>
            <w:tcW w:type="dxa" w:w="947"/>
          </w:tcPr>
          <w:p>
            <w:pPr>
              <w:spacing w:after="20" w:line="240" w:lineRule="auto"/>
            </w:pPr>
            <w:r>
              <w:rPr>
                <w:sz w:val="18"/>
              </w:rPr>
              <w:t>1,000</w:t>
            </w:r>
          </w:p>
        </w:tc>
        <w:tc>
          <w:tcPr>
            <w:tcW w:type="dxa" w:w="1500"/>
          </w:tcPr>
          <w:p>
            <w:pPr>
              <w:spacing w:after="20" w:line="240" w:lineRule="auto"/>
            </w:pPr>
            <w:r>
              <w:rPr>
                <w:sz w:val="18"/>
              </w:rPr>
              <w:t>—</w:t>
            </w:r>
          </w:p>
        </w:tc>
      </w:tr>
      <w:tr>
        <w:tc>
          <w:tcPr>
            <w:tcW w:type="dxa" w:w="4105"/>
            <w:shd w:val="clear" w:color="auto" w:fill="F3F6FA"/>
          </w:tcPr>
          <w:p>
            <w:pPr>
              <w:spacing w:after="20" w:line="240" w:lineRule="auto"/>
            </w:pPr>
            <w:r>
              <w:rPr>
                <w:sz w:val="18"/>
              </w:rPr>
              <w:t>XGBoost</w:t>
            </w:r>
          </w:p>
        </w:tc>
        <w:tc>
          <w:tcPr>
            <w:tcW w:type="dxa" w:w="1026"/>
            <w:shd w:val="clear" w:color="auto" w:fill="F3F6FA"/>
          </w:tcPr>
          <w:p>
            <w:pPr>
              <w:spacing w:after="20" w:line="240" w:lineRule="auto"/>
            </w:pPr>
            <w:r>
              <w:rPr>
                <w:sz w:val="18"/>
              </w:rPr>
              <w:t>103,8</w:t>
            </w:r>
          </w:p>
        </w:tc>
        <w:tc>
          <w:tcPr>
            <w:tcW w:type="dxa" w:w="1026"/>
            <w:shd w:val="clear" w:color="auto" w:fill="F3F6FA"/>
          </w:tcPr>
          <w:p>
            <w:pPr>
              <w:spacing w:after="20" w:line="240" w:lineRule="auto"/>
            </w:pPr>
            <w:r>
              <w:rPr>
                <w:sz w:val="18"/>
              </w:rPr>
              <w:t>159,8</w:t>
            </w:r>
          </w:p>
        </w:tc>
        <w:tc>
          <w:tcPr>
            <w:tcW w:type="dxa" w:w="1026"/>
            <w:shd w:val="clear" w:color="auto" w:fill="F3F6FA"/>
          </w:tcPr>
          <w:p>
            <w:pPr>
              <w:spacing w:after="20" w:line="240" w:lineRule="auto"/>
            </w:pPr>
            <w:r>
              <w:rPr>
                <w:sz w:val="18"/>
              </w:rPr>
              <w:t>26,4 %</w:t>
            </w:r>
          </w:p>
        </w:tc>
        <w:tc>
          <w:tcPr>
            <w:tcW w:type="dxa" w:w="947"/>
            <w:shd w:val="clear" w:color="auto" w:fill="F3F6FA"/>
          </w:tcPr>
          <w:p>
            <w:pPr>
              <w:spacing w:after="20" w:line="240" w:lineRule="auto"/>
            </w:pPr>
            <w:r>
              <w:rPr>
                <w:sz w:val="18"/>
              </w:rPr>
              <w:t>0,954</w:t>
            </w:r>
          </w:p>
        </w:tc>
        <w:tc>
          <w:tcPr>
            <w:tcW w:type="dxa" w:w="1500"/>
            <w:shd w:val="clear" w:color="auto" w:fill="F3F6FA"/>
          </w:tcPr>
          <w:p>
            <w:pPr>
              <w:spacing w:after="20" w:line="240" w:lineRule="auto"/>
            </w:pPr>
            <w:r>
              <w:rPr>
                <w:sz w:val="18"/>
              </w:rPr>
              <w:t>1,29</w:t>
            </w:r>
          </w:p>
        </w:tc>
      </w:tr>
      <w:tr>
        <w:tc>
          <w:tcPr>
            <w:tcW w:type="dxa" w:w="4105"/>
          </w:tcPr>
          <w:p>
            <w:pPr>
              <w:spacing w:after="20" w:line="240" w:lineRule="auto"/>
            </w:pPr>
            <w:r>
              <w:rPr>
                <w:sz w:val="18"/>
              </w:rPr>
              <w:t>ARX+GARCH</w:t>
            </w:r>
          </w:p>
        </w:tc>
        <w:tc>
          <w:tcPr>
            <w:tcW w:type="dxa" w:w="1026"/>
          </w:tcPr>
          <w:p>
            <w:pPr>
              <w:spacing w:after="20" w:line="240" w:lineRule="auto"/>
            </w:pPr>
            <w:r>
              <w:rPr>
                <w:sz w:val="18"/>
              </w:rPr>
              <w:t>105,0</w:t>
            </w:r>
          </w:p>
        </w:tc>
        <w:tc>
          <w:tcPr>
            <w:tcW w:type="dxa" w:w="1026"/>
          </w:tcPr>
          <w:p>
            <w:pPr>
              <w:spacing w:after="20" w:line="240" w:lineRule="auto"/>
            </w:pPr>
            <w:r>
              <w:rPr>
                <w:sz w:val="18"/>
              </w:rPr>
              <w:t>163,3</w:t>
            </w:r>
          </w:p>
        </w:tc>
        <w:tc>
          <w:tcPr>
            <w:tcW w:type="dxa" w:w="1026"/>
          </w:tcPr>
          <w:p>
            <w:pPr>
              <w:spacing w:after="20" w:line="240" w:lineRule="auto"/>
            </w:pPr>
            <w:r>
              <w:rPr>
                <w:sz w:val="18"/>
              </w:rPr>
              <w:t>27,1 %</w:t>
            </w:r>
          </w:p>
        </w:tc>
        <w:tc>
          <w:tcPr>
            <w:tcW w:type="dxa" w:w="947"/>
          </w:tcPr>
          <w:p>
            <w:pPr>
              <w:spacing w:after="20" w:line="240" w:lineRule="auto"/>
            </w:pPr>
            <w:r>
              <w:rPr>
                <w:sz w:val="18"/>
              </w:rPr>
              <w:t>0,965</w:t>
            </w:r>
          </w:p>
        </w:tc>
        <w:tc>
          <w:tcPr>
            <w:tcW w:type="dxa" w:w="1500"/>
          </w:tcPr>
          <w:p>
            <w:pPr>
              <w:spacing w:after="20" w:line="240" w:lineRule="auto"/>
            </w:pPr>
            <w:r>
              <w:rPr>
                <w:sz w:val="18"/>
              </w:rPr>
              <w:t>1,68</w:t>
            </w:r>
          </w:p>
        </w:tc>
      </w:tr>
      <w:tr>
        <w:tc>
          <w:tcPr>
            <w:tcW w:type="dxa" w:w="4105"/>
            <w:shd w:val="clear" w:color="auto" w:fill="F3F6FA"/>
          </w:tcPr>
          <w:p>
            <w:pPr>
              <w:spacing w:after="20" w:line="240" w:lineRule="auto"/>
            </w:pPr>
            <w:r>
              <w:rPr>
                <w:sz w:val="18"/>
              </w:rPr>
              <w:t>N-BEATSx</w:t>
            </w:r>
          </w:p>
        </w:tc>
        <w:tc>
          <w:tcPr>
            <w:tcW w:type="dxa" w:w="1026"/>
            <w:shd w:val="clear" w:color="auto" w:fill="F3F6FA"/>
          </w:tcPr>
          <w:p>
            <w:pPr>
              <w:spacing w:after="20" w:line="240" w:lineRule="auto"/>
            </w:pPr>
            <w:r>
              <w:rPr>
                <w:sz w:val="18"/>
              </w:rPr>
              <w:t>110,6</w:t>
            </w:r>
          </w:p>
        </w:tc>
        <w:tc>
          <w:tcPr>
            <w:tcW w:type="dxa" w:w="1026"/>
            <w:shd w:val="clear" w:color="auto" w:fill="F3F6FA"/>
          </w:tcPr>
          <w:p>
            <w:pPr>
              <w:spacing w:after="20" w:line="240" w:lineRule="auto"/>
            </w:pPr>
            <w:r>
              <w:rPr>
                <w:sz w:val="18"/>
              </w:rPr>
              <w:t>165,3</w:t>
            </w:r>
          </w:p>
        </w:tc>
        <w:tc>
          <w:tcPr>
            <w:tcW w:type="dxa" w:w="1026"/>
            <w:shd w:val="clear" w:color="auto" w:fill="F3F6FA"/>
          </w:tcPr>
          <w:p>
            <w:pPr>
              <w:spacing w:after="20" w:line="240" w:lineRule="auto"/>
            </w:pPr>
            <w:r>
              <w:rPr>
                <w:sz w:val="18"/>
              </w:rPr>
              <w:t>31,4 %</w:t>
            </w:r>
          </w:p>
        </w:tc>
        <w:tc>
          <w:tcPr>
            <w:tcW w:type="dxa" w:w="947"/>
            <w:shd w:val="clear" w:color="auto" w:fill="F3F6FA"/>
          </w:tcPr>
          <w:p>
            <w:pPr>
              <w:spacing w:after="20" w:line="240" w:lineRule="auto"/>
            </w:pPr>
            <w:r>
              <w:rPr>
                <w:sz w:val="18"/>
              </w:rPr>
              <w:t>1,016</w:t>
            </w:r>
          </w:p>
        </w:tc>
        <w:tc>
          <w:tcPr>
            <w:tcW w:type="dxa" w:w="1500"/>
            <w:shd w:val="clear" w:color="auto" w:fill="F3F6FA"/>
          </w:tcPr>
          <w:p>
            <w:pPr>
              <w:spacing w:after="20" w:line="240" w:lineRule="auto"/>
            </w:pPr>
            <w:r>
              <w:rPr>
                <w:sz w:val="18"/>
              </w:rPr>
              <w:t>−0,37</w:t>
            </w:r>
          </w:p>
        </w:tc>
      </w:tr>
      <w:tr>
        <w:tc>
          <w:tcPr>
            <w:tcW w:type="dxa" w:w="4105"/>
          </w:tcPr>
          <w:p>
            <w:pPr>
              <w:spacing w:after="20" w:line="240" w:lineRule="auto"/>
            </w:pPr>
            <w:r>
              <w:rPr>
                <w:sz w:val="18"/>
              </w:rPr>
              <w:t>N-HiTS</w:t>
            </w:r>
          </w:p>
        </w:tc>
        <w:tc>
          <w:tcPr>
            <w:tcW w:type="dxa" w:w="1026"/>
          </w:tcPr>
          <w:p>
            <w:pPr>
              <w:spacing w:after="20" w:line="240" w:lineRule="auto"/>
            </w:pPr>
            <w:r>
              <w:rPr>
                <w:sz w:val="18"/>
              </w:rPr>
              <w:t>113,1</w:t>
            </w:r>
          </w:p>
        </w:tc>
        <w:tc>
          <w:tcPr>
            <w:tcW w:type="dxa" w:w="1026"/>
          </w:tcPr>
          <w:p>
            <w:pPr>
              <w:spacing w:after="20" w:line="240" w:lineRule="auto"/>
            </w:pPr>
            <w:r>
              <w:rPr>
                <w:sz w:val="18"/>
              </w:rPr>
              <w:t>168,2</w:t>
            </w:r>
          </w:p>
        </w:tc>
        <w:tc>
          <w:tcPr>
            <w:tcW w:type="dxa" w:w="1026"/>
          </w:tcPr>
          <w:p>
            <w:pPr>
              <w:spacing w:after="20" w:line="240" w:lineRule="auto"/>
            </w:pPr>
            <w:r>
              <w:rPr>
                <w:sz w:val="18"/>
              </w:rPr>
              <w:t>32,4 %</w:t>
            </w:r>
          </w:p>
        </w:tc>
        <w:tc>
          <w:tcPr>
            <w:tcW w:type="dxa" w:w="947"/>
          </w:tcPr>
          <w:p>
            <w:pPr>
              <w:spacing w:after="20" w:line="240" w:lineRule="auto"/>
            </w:pPr>
            <w:r>
              <w:rPr>
                <w:sz w:val="18"/>
              </w:rPr>
              <w:t>1,039</w:t>
            </w:r>
          </w:p>
        </w:tc>
        <w:tc>
          <w:tcPr>
            <w:tcW w:type="dxa" w:w="1500"/>
          </w:tcPr>
          <w:p>
            <w:pPr>
              <w:spacing w:after="20" w:line="240" w:lineRule="auto"/>
            </w:pPr>
            <w:r>
              <w:rPr>
                <w:sz w:val="18"/>
              </w:rPr>
              <w:t>−0,86</w:t>
            </w:r>
          </w:p>
        </w:tc>
      </w:tr>
      <w:tr>
        <w:tc>
          <w:tcPr>
            <w:tcW w:type="dxa" w:w="4105"/>
            <w:shd w:val="clear" w:color="auto" w:fill="F3F6FA"/>
          </w:tcPr>
          <w:p>
            <w:pPr>
              <w:spacing w:after="20" w:line="240" w:lineRule="auto"/>
            </w:pPr>
            <w:r>
              <w:rPr>
                <w:sz w:val="18"/>
              </w:rPr>
              <w:t>GARCH-ged</w:t>
            </w:r>
          </w:p>
        </w:tc>
        <w:tc>
          <w:tcPr>
            <w:tcW w:type="dxa" w:w="1026"/>
            <w:shd w:val="clear" w:color="auto" w:fill="F3F6FA"/>
          </w:tcPr>
          <w:p>
            <w:pPr>
              <w:spacing w:after="20" w:line="240" w:lineRule="auto"/>
            </w:pPr>
            <w:r>
              <w:rPr>
                <w:sz w:val="18"/>
              </w:rPr>
              <w:t>100,4</w:t>
            </w:r>
          </w:p>
        </w:tc>
        <w:tc>
          <w:tcPr>
            <w:tcW w:type="dxa" w:w="1026"/>
            <w:shd w:val="clear" w:color="auto" w:fill="F3F6FA"/>
          </w:tcPr>
          <w:p>
            <w:pPr>
              <w:spacing w:after="20" w:line="240" w:lineRule="auto"/>
            </w:pPr>
            <w:r>
              <w:rPr>
                <w:sz w:val="18"/>
              </w:rPr>
              <w:t>154,9</w:t>
            </w:r>
          </w:p>
        </w:tc>
        <w:tc>
          <w:tcPr>
            <w:tcW w:type="dxa" w:w="1026"/>
            <w:shd w:val="clear" w:color="auto" w:fill="F3F6FA"/>
          </w:tcPr>
          <w:p>
            <w:pPr>
              <w:spacing w:after="20" w:line="240" w:lineRule="auto"/>
            </w:pPr>
            <w:r>
              <w:rPr>
                <w:sz w:val="18"/>
              </w:rPr>
              <w:t>27,7 %</w:t>
            </w:r>
          </w:p>
        </w:tc>
        <w:tc>
          <w:tcPr>
            <w:tcW w:type="dxa" w:w="947"/>
            <w:shd w:val="clear" w:color="auto" w:fill="F3F6FA"/>
          </w:tcPr>
          <w:p>
            <w:pPr>
              <w:spacing w:after="20" w:line="240" w:lineRule="auto"/>
            </w:pPr>
            <w:r>
              <w:rPr>
                <w:sz w:val="18"/>
              </w:rPr>
              <w:t>0,923</w:t>
            </w:r>
          </w:p>
        </w:tc>
        <w:tc>
          <w:tcPr>
            <w:tcW w:type="dxa" w:w="1500"/>
            <w:shd w:val="clear" w:color="auto" w:fill="F3F6FA"/>
          </w:tcPr>
          <w:p>
            <w:pPr>
              <w:spacing w:after="20" w:line="240" w:lineRule="auto"/>
            </w:pPr>
            <w:r>
              <w:rPr>
                <w:sz w:val="18"/>
              </w:rPr>
              <w:t>3,93</w:t>
            </w:r>
          </w:p>
        </w:tc>
      </w:tr>
      <w:tr>
        <w:tc>
          <w:tcPr>
            <w:tcW w:type="dxa" w:w="4105"/>
          </w:tcPr>
          <w:p>
            <w:pPr>
              <w:spacing w:after="20" w:line="240" w:lineRule="auto"/>
            </w:pPr>
            <w:r>
              <w:rPr>
                <w:sz w:val="18"/>
              </w:rPr>
              <w:t>Ensamble de 6 (diseño del informe de avance)</w:t>
            </w:r>
          </w:p>
        </w:tc>
        <w:tc>
          <w:tcPr>
            <w:tcW w:type="dxa" w:w="1026"/>
          </w:tcPr>
          <w:p>
            <w:pPr>
              <w:spacing w:after="20" w:line="240" w:lineRule="auto"/>
            </w:pPr>
            <w:r>
              <w:rPr>
                <w:sz w:val="18"/>
              </w:rPr>
              <w:t>100,7</w:t>
            </w:r>
          </w:p>
        </w:tc>
        <w:tc>
          <w:tcPr>
            <w:tcW w:type="dxa" w:w="1026"/>
          </w:tcPr>
          <w:p>
            <w:pPr>
              <w:spacing w:after="20" w:line="240" w:lineRule="auto"/>
            </w:pPr>
            <w:r>
              <w:rPr>
                <w:sz w:val="18"/>
              </w:rPr>
              <w:t>154,1</w:t>
            </w:r>
          </w:p>
        </w:tc>
        <w:tc>
          <w:tcPr>
            <w:tcW w:type="dxa" w:w="1026"/>
          </w:tcPr>
          <w:p>
            <w:pPr>
              <w:spacing w:after="20" w:line="240" w:lineRule="auto"/>
            </w:pPr>
            <w:r>
              <w:rPr>
                <w:sz w:val="18"/>
              </w:rPr>
              <w:t>25,5 %</w:t>
            </w:r>
          </w:p>
        </w:tc>
        <w:tc>
          <w:tcPr>
            <w:tcW w:type="dxa" w:w="947"/>
          </w:tcPr>
          <w:p>
            <w:pPr>
              <w:spacing w:after="20" w:line="240" w:lineRule="auto"/>
            </w:pPr>
            <w:r>
              <w:rPr>
                <w:sz w:val="18"/>
              </w:rPr>
              <w:t>0,926</w:t>
            </w:r>
          </w:p>
        </w:tc>
        <w:tc>
          <w:tcPr>
            <w:tcW w:type="dxa" w:w="1500"/>
          </w:tcPr>
          <w:p>
            <w:pPr>
              <w:spacing w:after="20" w:line="240" w:lineRule="auto"/>
            </w:pPr>
            <w:r>
              <w:rPr>
                <w:sz w:val="18"/>
              </w:rPr>
              <w:t>2,45</w:t>
            </w:r>
          </w:p>
        </w:tc>
      </w:tr>
      <w:tr>
        <w:tc>
          <w:tcPr>
            <w:tcW w:type="dxa" w:w="4105"/>
            <w:shd w:val="clear" w:color="auto" w:fill="F3F6FA"/>
          </w:tcPr>
          <w:p>
            <w:pPr>
              <w:spacing w:after="20" w:line="240" w:lineRule="auto"/>
            </w:pPr>
            <w:r>
              <w:rPr>
                <w:sz w:val="18"/>
              </w:rPr>
              <w:t>Predespacho ideal de XM</w:t>
            </w:r>
          </w:p>
        </w:tc>
        <w:tc>
          <w:tcPr>
            <w:tcW w:type="dxa" w:w="1026"/>
            <w:shd w:val="clear" w:color="auto" w:fill="F3F6FA"/>
          </w:tcPr>
          <w:p>
            <w:pPr>
              <w:spacing w:after="20" w:line="240" w:lineRule="auto"/>
            </w:pPr>
            <w:r>
              <w:rPr>
                <w:sz w:val="18"/>
              </w:rPr>
              <w:t>39,2</w:t>
            </w:r>
          </w:p>
        </w:tc>
        <w:tc>
          <w:tcPr>
            <w:tcW w:type="dxa" w:w="1026"/>
            <w:shd w:val="clear" w:color="auto" w:fill="F3F6FA"/>
          </w:tcPr>
          <w:p>
            <w:pPr>
              <w:spacing w:after="20" w:line="240" w:lineRule="auto"/>
            </w:pPr>
            <w:r>
              <w:rPr>
                <w:sz w:val="18"/>
              </w:rPr>
              <w:t>85,1</w:t>
            </w:r>
          </w:p>
        </w:tc>
        <w:tc>
          <w:tcPr>
            <w:tcW w:type="dxa" w:w="1026"/>
            <w:shd w:val="clear" w:color="auto" w:fill="F3F6FA"/>
          </w:tcPr>
          <w:p>
            <w:pPr>
              <w:spacing w:after="20" w:line="240" w:lineRule="auto"/>
            </w:pPr>
            <w:r>
              <w:rPr>
                <w:sz w:val="18"/>
              </w:rPr>
              <w:t>12,9 %</w:t>
            </w:r>
          </w:p>
        </w:tc>
        <w:tc>
          <w:tcPr>
            <w:tcW w:type="dxa" w:w="947"/>
            <w:shd w:val="clear" w:color="auto" w:fill="F3F6FA"/>
          </w:tcPr>
          <w:p>
            <w:pPr>
              <w:spacing w:after="20" w:line="240" w:lineRule="auto"/>
            </w:pPr>
            <w:r>
              <w:rPr>
                <w:sz w:val="18"/>
              </w:rPr>
              <w:t>0,360</w:t>
            </w:r>
          </w:p>
        </w:tc>
        <w:tc>
          <w:tcPr>
            <w:tcW w:type="dxa" w:w="1500"/>
            <w:shd w:val="clear" w:color="auto" w:fill="F3F6FA"/>
          </w:tcPr>
          <w:p>
            <w:pPr>
              <w:spacing w:after="20" w:line="240" w:lineRule="auto"/>
            </w:pPr>
            <w:r>
              <w:rPr>
                <w:sz w:val="18"/>
              </w:rPr>
              <w:t>11,61</w:t>
            </w:r>
          </w:p>
        </w:tc>
      </w:tr>
      <w:tr>
        <w:tc>
          <w:tcPr>
            <w:tcW w:type="dxa" w:w="4105"/>
          </w:tcPr>
          <w:p>
            <w:pPr>
              <w:spacing w:after="20" w:line="240" w:lineRule="auto"/>
            </w:pPr>
            <w:r>
              <w:rPr>
                <w:sz w:val="18"/>
              </w:rPr>
              <w:t>Ensamble de 6 + predespacho</w:t>
            </w:r>
          </w:p>
        </w:tc>
        <w:tc>
          <w:tcPr>
            <w:tcW w:type="dxa" w:w="1026"/>
          </w:tcPr>
          <w:p>
            <w:pPr>
              <w:spacing w:after="20" w:line="240" w:lineRule="auto"/>
            </w:pPr>
            <w:r>
              <w:rPr>
                <w:sz w:val="18"/>
              </w:rPr>
              <w:t>36,7</w:t>
            </w:r>
          </w:p>
        </w:tc>
        <w:tc>
          <w:tcPr>
            <w:tcW w:type="dxa" w:w="1026"/>
          </w:tcPr>
          <w:p>
            <w:pPr>
              <w:spacing w:after="20" w:line="240" w:lineRule="auto"/>
            </w:pPr>
            <w:r>
              <w:rPr>
                <w:sz w:val="18"/>
              </w:rPr>
              <w:t>81,9</w:t>
            </w:r>
          </w:p>
        </w:tc>
        <w:tc>
          <w:tcPr>
            <w:tcW w:type="dxa" w:w="1026"/>
          </w:tcPr>
          <w:p>
            <w:pPr>
              <w:spacing w:after="20" w:line="240" w:lineRule="auto"/>
            </w:pPr>
            <w:r>
              <w:rPr>
                <w:sz w:val="18"/>
              </w:rPr>
              <w:t>10,3 %</w:t>
            </w:r>
          </w:p>
        </w:tc>
        <w:tc>
          <w:tcPr>
            <w:tcW w:type="dxa" w:w="947"/>
          </w:tcPr>
          <w:p>
            <w:pPr>
              <w:spacing w:after="20" w:line="240" w:lineRule="auto"/>
            </w:pPr>
            <w:r>
              <w:rPr>
                <w:sz w:val="18"/>
              </w:rPr>
              <w:t>0,337</w:t>
            </w:r>
          </w:p>
        </w:tc>
        <w:tc>
          <w:tcPr>
            <w:tcW w:type="dxa" w:w="1500"/>
          </w:tcPr>
          <w:p>
            <w:pPr>
              <w:spacing w:after="20" w:line="240" w:lineRule="auto"/>
            </w:pPr>
            <w:r>
              <w:rPr>
                <w:sz w:val="18"/>
              </w:rPr>
              <w:t>12,88</w:t>
            </w:r>
          </w:p>
        </w:tc>
      </w:tr>
      <w:tr>
        <w:tc>
          <w:tcPr>
            <w:tcW w:type="dxa" w:w="4105"/>
            <w:shd w:val="clear" w:color="auto" w:fill="F3F6FA"/>
          </w:tcPr>
          <w:p>
            <w:pPr>
              <w:spacing w:after="20" w:line="240" w:lineRule="auto"/>
            </w:pPr>
            <w:r>
              <w:rPr>
                <w:sz w:val="18"/>
              </w:rPr>
              <w:t>Promedio de 3 CatBoost</w:t>
            </w:r>
          </w:p>
        </w:tc>
        <w:tc>
          <w:tcPr>
            <w:tcW w:type="dxa" w:w="1026"/>
            <w:shd w:val="clear" w:color="auto" w:fill="F3F6FA"/>
          </w:tcPr>
          <w:p>
            <w:pPr>
              <w:spacing w:after="20" w:line="240" w:lineRule="auto"/>
            </w:pPr>
            <w:r>
              <w:rPr>
                <w:sz w:val="18"/>
              </w:rPr>
              <w:t>35,5</w:t>
            </w:r>
          </w:p>
        </w:tc>
        <w:tc>
          <w:tcPr>
            <w:tcW w:type="dxa" w:w="1026"/>
            <w:shd w:val="clear" w:color="auto" w:fill="F3F6FA"/>
          </w:tcPr>
          <w:p>
            <w:pPr>
              <w:spacing w:after="20" w:line="240" w:lineRule="auto"/>
            </w:pPr>
            <w:r>
              <w:rPr>
                <w:sz w:val="18"/>
              </w:rPr>
              <w:t>80,2</w:t>
            </w:r>
          </w:p>
        </w:tc>
        <w:tc>
          <w:tcPr>
            <w:tcW w:type="dxa" w:w="1026"/>
            <w:shd w:val="clear" w:color="auto" w:fill="F3F6FA"/>
          </w:tcPr>
          <w:p>
            <w:pPr>
              <w:spacing w:after="20" w:line="240" w:lineRule="auto"/>
            </w:pPr>
            <w:r>
              <w:rPr>
                <w:sz w:val="18"/>
              </w:rPr>
              <w:t>10,3 %</w:t>
            </w:r>
          </w:p>
        </w:tc>
        <w:tc>
          <w:tcPr>
            <w:tcW w:type="dxa" w:w="947"/>
            <w:shd w:val="clear" w:color="auto" w:fill="F3F6FA"/>
          </w:tcPr>
          <w:p>
            <w:pPr>
              <w:spacing w:after="20" w:line="240" w:lineRule="auto"/>
            </w:pPr>
            <w:r>
              <w:rPr>
                <w:sz w:val="18"/>
              </w:rPr>
              <w:t>0,326</w:t>
            </w:r>
          </w:p>
        </w:tc>
        <w:tc>
          <w:tcPr>
            <w:tcW w:type="dxa" w:w="1500"/>
            <w:shd w:val="clear" w:color="auto" w:fill="F3F6FA"/>
          </w:tcPr>
          <w:p>
            <w:pPr>
              <w:spacing w:after="20" w:line="240" w:lineRule="auto"/>
            </w:pPr>
            <w:r>
              <w:rPr>
                <w:sz w:val="18"/>
              </w:rPr>
              <w:t>12,51</w:t>
            </w:r>
          </w:p>
        </w:tc>
      </w:tr>
      <w:tr>
        <w:tc>
          <w:tcPr>
            <w:tcW w:type="dxa" w:w="4105"/>
          </w:tcPr>
          <w:p>
            <w:pPr>
              <w:spacing w:after="20" w:line="240" w:lineRule="auto"/>
            </w:pPr>
            <w:r>
              <w:rPr>
                <w:sz w:val="18"/>
              </w:rPr>
              <w:t>Predespacho + 3 CatBoost (diseño definitivo)</w:t>
            </w:r>
          </w:p>
        </w:tc>
        <w:tc>
          <w:tcPr>
            <w:tcW w:type="dxa" w:w="1026"/>
          </w:tcPr>
          <w:p>
            <w:pPr>
              <w:spacing w:after="20" w:line="240" w:lineRule="auto"/>
            </w:pPr>
            <w:r>
              <w:rPr>
                <w:sz w:val="18"/>
              </w:rPr>
              <w:t>35,0</w:t>
            </w:r>
          </w:p>
        </w:tc>
        <w:tc>
          <w:tcPr>
            <w:tcW w:type="dxa" w:w="1026"/>
          </w:tcPr>
          <w:p>
            <w:pPr>
              <w:spacing w:after="20" w:line="240" w:lineRule="auto"/>
            </w:pPr>
            <w:r>
              <w:rPr>
                <w:sz w:val="18"/>
              </w:rPr>
              <w:t>81,4</w:t>
            </w:r>
          </w:p>
        </w:tc>
        <w:tc>
          <w:tcPr>
            <w:tcW w:type="dxa" w:w="1026"/>
          </w:tcPr>
          <w:p>
            <w:pPr>
              <w:spacing w:after="20" w:line="240" w:lineRule="auto"/>
            </w:pPr>
            <w:r>
              <w:rPr>
                <w:sz w:val="18"/>
              </w:rPr>
              <w:t>10,0 %</w:t>
            </w:r>
          </w:p>
        </w:tc>
        <w:tc>
          <w:tcPr>
            <w:tcW w:type="dxa" w:w="947"/>
          </w:tcPr>
          <w:p>
            <w:pPr>
              <w:spacing w:after="20" w:line="240" w:lineRule="auto"/>
            </w:pPr>
            <w:r>
              <w:rPr>
                <w:sz w:val="18"/>
              </w:rPr>
              <w:t>0,322</w:t>
            </w:r>
          </w:p>
        </w:tc>
        <w:tc>
          <w:tcPr>
            <w:tcW w:type="dxa" w:w="1500"/>
          </w:tcPr>
          <w:p>
            <w:pPr>
              <w:spacing w:after="20" w:line="240" w:lineRule="auto"/>
            </w:pPr>
            <w:r>
              <w:rPr>
                <w:sz w:val="18"/>
              </w:rPr>
              <w:t>12,81</w:t>
            </w:r>
          </w:p>
        </w:tc>
      </w:tr>
    </w:tbl>
    <w:p>
      <w:r>
        <w:rPr>
          <w:color w:val="595959"/>
          <w:sz w:val="17"/>
        </w:rPr>
        <w:t>La última fila es el diseño en producción. Sobre las 5.184 horas completas de 2026 su MAE es 33,7 COP/kWh y el MAPE 10,0 %.</w:t>
      </w:r>
    </w:p>
    <w:p>
      <w:pPr>
        <w:keepNext/>
        <w:jc w:val="center"/>
      </w:pPr>
      <w:r>
        <w:drawing>
          <wp:inline xmlns:a="http://schemas.openxmlformats.org/drawingml/2006/main" xmlns:pic="http://schemas.openxmlformats.org/drawingml/2006/picture">
            <wp:extent cx="5400000" cy="2160000"/>
            <wp:docPr id="3" name="Picture 3"/>
            <wp:cNvGraphicFramePr>
              <a:graphicFrameLocks noChangeAspect="1"/>
            </wp:cNvGraphicFramePr>
            <a:graphic>
              <a:graphicData uri="http://schemas.openxmlformats.org/drawingml/2006/picture">
                <pic:pic>
                  <pic:nvPicPr>
                    <pic:cNvPr id="0" name="comparacion_mae.png"/>
                    <pic:cNvPicPr/>
                  </pic:nvPicPr>
                  <pic:blipFill>
                    <a:blip r:embed="rId11"/>
                    <a:stretch>
                      <a:fillRect/>
                    </a:stretch>
                  </pic:blipFill>
                  <pic:spPr>
                    <a:xfrm>
                      <a:off x="0" y="0"/>
                      <a:ext cx="5400000" cy="2160000"/>
                    </a:xfrm>
                    <a:prstGeom prst="rect"/>
                  </pic:spPr>
                </pic:pic>
              </a:graphicData>
            </a:graphic>
          </wp:inline>
        </w:drawing>
      </w:r>
    </w:p>
    <w:p>
      <w:pPr>
        <w:jc w:val="center"/>
      </w:pPr>
      <w:r>
        <w:rPr>
          <w:color w:val="595959"/>
          <w:sz w:val="18"/>
        </w:rPr>
        <w:t>Figura 3. MAE de 24 h en 2026. Sin el predespacho, ningún modelo se aleja mucho de la persistencia; con él, el error cae a un tercio.</w:t>
      </w:r>
    </w:p>
    <w:p>
      <w:pPr>
        <w:pStyle w:val="Heading2"/>
      </w:pPr>
      <w:r>
        <w:t>9.2 Pronóstico de 72 horas</w:t>
      </w:r>
    </w:p>
    <w:p>
      <w:pPr>
        <w:keepNext/>
        <w:spacing w:after="60"/>
      </w:pPr>
      <w:r>
        <w:rPr>
          <w:b/>
          <w:color w:val="1F4E79"/>
          <w:sz w:val="20"/>
        </w:rPr>
        <w:t>Tabla 16. Error por tramo de horizonte (2026)</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tblHeader w:val="true"/>
        </w:trPr>
        <w:tc>
          <w:tcPr>
            <w:tcW w:type="dxa" w:w="1605"/>
            <w:shd w:val="clear" w:color="auto" w:fill="1F4E79"/>
          </w:tcPr>
          <w:p>
            <w:pPr>
              <w:spacing w:after="20" w:line="240" w:lineRule="auto"/>
            </w:pPr>
            <w:r>
              <w:rPr>
                <w:b/>
                <w:color w:val="FFFFFF"/>
                <w:sz w:val="18"/>
              </w:rPr>
              <w:t>Tramo</w:t>
            </w:r>
          </w:p>
        </w:tc>
        <w:tc>
          <w:tcPr>
            <w:tcW w:type="dxa" w:w="1304"/>
            <w:shd w:val="clear" w:color="auto" w:fill="1F4E79"/>
          </w:tcPr>
          <w:p>
            <w:pPr>
              <w:spacing w:after="20" w:line="240" w:lineRule="auto"/>
            </w:pPr>
            <w:r>
              <w:rPr>
                <w:b/>
                <w:color w:val="FFFFFF"/>
                <w:sz w:val="18"/>
              </w:rPr>
              <w:t>MAE</w:t>
            </w:r>
          </w:p>
        </w:tc>
        <w:tc>
          <w:tcPr>
            <w:tcW w:type="dxa" w:w="1304"/>
            <w:shd w:val="clear" w:color="auto" w:fill="1F4E79"/>
          </w:tcPr>
          <w:p>
            <w:pPr>
              <w:spacing w:after="20" w:line="240" w:lineRule="auto"/>
            </w:pPr>
            <w:r>
              <w:rPr>
                <w:b/>
                <w:color w:val="FFFFFF"/>
                <w:sz w:val="18"/>
              </w:rPr>
              <w:t>MAPE</w:t>
            </w:r>
          </w:p>
        </w:tc>
        <w:tc>
          <w:tcPr>
            <w:tcW w:type="dxa" w:w="2207"/>
            <w:shd w:val="clear" w:color="auto" w:fill="1F4E79"/>
          </w:tcPr>
          <w:p>
            <w:pPr>
              <w:spacing w:after="20" w:line="240" w:lineRule="auto"/>
            </w:pPr>
            <w:r>
              <w:rPr>
                <w:b/>
                <w:color w:val="FFFFFF"/>
                <w:sz w:val="18"/>
              </w:rPr>
              <w:t>MAE persistencia</w:t>
            </w:r>
          </w:p>
        </w:tc>
        <w:tc>
          <w:tcPr>
            <w:tcW w:type="dxa" w:w="1204"/>
            <w:shd w:val="clear" w:color="auto" w:fill="1F4E79"/>
          </w:tcPr>
          <w:p>
            <w:pPr>
              <w:spacing w:after="20" w:line="240" w:lineRule="auto"/>
            </w:pPr>
            <w:r>
              <w:rPr>
                <w:b/>
                <w:color w:val="FFFFFF"/>
                <w:sz w:val="18"/>
              </w:rPr>
              <w:t>rMAE</w:t>
            </w:r>
          </w:p>
        </w:tc>
        <w:tc>
          <w:tcPr>
            <w:tcW w:type="dxa" w:w="2007"/>
            <w:shd w:val="clear" w:color="auto" w:fill="1F4E79"/>
          </w:tcPr>
          <w:p>
            <w:pPr>
              <w:spacing w:after="20" w:line="240" w:lineRule="auto"/>
            </w:pPr>
            <w:r>
              <w:rPr>
                <w:b/>
                <w:color w:val="FFFFFF"/>
                <w:sz w:val="18"/>
              </w:rPr>
              <w:t>Cobertura 80 %</w:t>
            </w:r>
          </w:p>
        </w:tc>
      </w:tr>
      <w:tr>
        <w:tc>
          <w:tcPr>
            <w:tcW w:type="dxa" w:w="1605"/>
          </w:tcPr>
          <w:p>
            <w:pPr>
              <w:spacing w:after="20" w:line="240" w:lineRule="auto"/>
            </w:pPr>
            <w:r>
              <w:rPr>
                <w:sz w:val="18"/>
              </w:rPr>
              <w:t>1-24 h</w:t>
            </w:r>
          </w:p>
        </w:tc>
        <w:tc>
          <w:tcPr>
            <w:tcW w:type="dxa" w:w="1304"/>
          </w:tcPr>
          <w:p>
            <w:pPr>
              <w:spacing w:after="20" w:line="240" w:lineRule="auto"/>
            </w:pPr>
            <w:r>
              <w:rPr>
                <w:sz w:val="18"/>
              </w:rPr>
              <w:t>33,2</w:t>
            </w:r>
          </w:p>
        </w:tc>
        <w:tc>
          <w:tcPr>
            <w:tcW w:type="dxa" w:w="1304"/>
          </w:tcPr>
          <w:p>
            <w:pPr>
              <w:spacing w:after="20" w:line="240" w:lineRule="auto"/>
            </w:pPr>
            <w:r>
              <w:rPr>
                <w:sz w:val="18"/>
              </w:rPr>
              <w:t>9,4 %</w:t>
            </w:r>
          </w:p>
        </w:tc>
        <w:tc>
          <w:tcPr>
            <w:tcW w:type="dxa" w:w="2207"/>
          </w:tcPr>
          <w:p>
            <w:pPr>
              <w:spacing w:after="20" w:line="240" w:lineRule="auto"/>
            </w:pPr>
            <w:r>
              <w:rPr>
                <w:sz w:val="18"/>
              </w:rPr>
              <w:t>107,6</w:t>
            </w:r>
          </w:p>
        </w:tc>
        <w:tc>
          <w:tcPr>
            <w:tcW w:type="dxa" w:w="1204"/>
          </w:tcPr>
          <w:p>
            <w:pPr>
              <w:spacing w:after="20" w:line="240" w:lineRule="auto"/>
            </w:pPr>
            <w:r>
              <w:rPr>
                <w:sz w:val="18"/>
              </w:rPr>
              <w:t>0,31</w:t>
            </w:r>
          </w:p>
        </w:tc>
        <w:tc>
          <w:tcPr>
            <w:tcW w:type="dxa" w:w="2007"/>
          </w:tcPr>
          <w:p>
            <w:pPr>
              <w:spacing w:after="20" w:line="240" w:lineRule="auto"/>
            </w:pPr>
            <w:r>
              <w:rPr>
                <w:sz w:val="18"/>
              </w:rPr>
              <w:t>83,6 %</w:t>
            </w:r>
          </w:p>
        </w:tc>
      </w:tr>
      <w:tr>
        <w:tc>
          <w:tcPr>
            <w:tcW w:type="dxa" w:w="1605"/>
            <w:shd w:val="clear" w:color="auto" w:fill="F3F6FA"/>
          </w:tcPr>
          <w:p>
            <w:pPr>
              <w:spacing w:after="20" w:line="240" w:lineRule="auto"/>
            </w:pPr>
            <w:r>
              <w:rPr>
                <w:sz w:val="18"/>
              </w:rPr>
              <w:t>25-48 h</w:t>
            </w:r>
          </w:p>
        </w:tc>
        <w:tc>
          <w:tcPr>
            <w:tcW w:type="dxa" w:w="1304"/>
            <w:shd w:val="clear" w:color="auto" w:fill="F3F6FA"/>
          </w:tcPr>
          <w:p>
            <w:pPr>
              <w:spacing w:after="20" w:line="240" w:lineRule="auto"/>
            </w:pPr>
            <w:r>
              <w:rPr>
                <w:sz w:val="18"/>
              </w:rPr>
              <w:t>50,2</w:t>
            </w:r>
          </w:p>
        </w:tc>
        <w:tc>
          <w:tcPr>
            <w:tcW w:type="dxa" w:w="1304"/>
            <w:shd w:val="clear" w:color="auto" w:fill="F3F6FA"/>
          </w:tcPr>
          <w:p>
            <w:pPr>
              <w:spacing w:after="20" w:line="240" w:lineRule="auto"/>
            </w:pPr>
            <w:r>
              <w:rPr>
                <w:sz w:val="18"/>
              </w:rPr>
              <w:t>14,9 %</w:t>
            </w:r>
          </w:p>
        </w:tc>
        <w:tc>
          <w:tcPr>
            <w:tcW w:type="dxa" w:w="2207"/>
            <w:shd w:val="clear" w:color="auto" w:fill="F3F6FA"/>
          </w:tcPr>
          <w:p>
            <w:pPr>
              <w:spacing w:after="20" w:line="240" w:lineRule="auto"/>
            </w:pPr>
            <w:r>
              <w:rPr>
                <w:sz w:val="18"/>
              </w:rPr>
              <w:t>117,5</w:t>
            </w:r>
          </w:p>
        </w:tc>
        <w:tc>
          <w:tcPr>
            <w:tcW w:type="dxa" w:w="1204"/>
            <w:shd w:val="clear" w:color="auto" w:fill="F3F6FA"/>
          </w:tcPr>
          <w:p>
            <w:pPr>
              <w:spacing w:after="20" w:line="240" w:lineRule="auto"/>
            </w:pPr>
            <w:r>
              <w:rPr>
                <w:sz w:val="18"/>
              </w:rPr>
              <w:t>0,43</w:t>
            </w:r>
          </w:p>
        </w:tc>
        <w:tc>
          <w:tcPr>
            <w:tcW w:type="dxa" w:w="2007"/>
            <w:shd w:val="clear" w:color="auto" w:fill="F3F6FA"/>
          </w:tcPr>
          <w:p>
            <w:pPr>
              <w:spacing w:after="20" w:line="240" w:lineRule="auto"/>
            </w:pPr>
            <w:r>
              <w:rPr>
                <w:sz w:val="18"/>
              </w:rPr>
              <w:t>84,3 %</w:t>
            </w:r>
          </w:p>
        </w:tc>
      </w:tr>
      <w:tr>
        <w:tc>
          <w:tcPr>
            <w:tcW w:type="dxa" w:w="1605"/>
          </w:tcPr>
          <w:p>
            <w:pPr>
              <w:spacing w:after="20" w:line="240" w:lineRule="auto"/>
            </w:pPr>
            <w:r>
              <w:rPr>
                <w:sz w:val="18"/>
              </w:rPr>
              <w:t>49-72 h</w:t>
            </w:r>
          </w:p>
        </w:tc>
        <w:tc>
          <w:tcPr>
            <w:tcW w:type="dxa" w:w="1304"/>
          </w:tcPr>
          <w:p>
            <w:pPr>
              <w:spacing w:after="20" w:line="240" w:lineRule="auto"/>
            </w:pPr>
            <w:r>
              <w:rPr>
                <w:sz w:val="18"/>
              </w:rPr>
              <w:t>73,2</w:t>
            </w:r>
          </w:p>
        </w:tc>
        <w:tc>
          <w:tcPr>
            <w:tcW w:type="dxa" w:w="1304"/>
          </w:tcPr>
          <w:p>
            <w:pPr>
              <w:spacing w:after="20" w:line="240" w:lineRule="auto"/>
            </w:pPr>
            <w:r>
              <w:rPr>
                <w:sz w:val="18"/>
              </w:rPr>
              <w:t>20,6 %</w:t>
            </w:r>
          </w:p>
        </w:tc>
        <w:tc>
          <w:tcPr>
            <w:tcW w:type="dxa" w:w="2207"/>
          </w:tcPr>
          <w:p>
            <w:pPr>
              <w:spacing w:after="20" w:line="240" w:lineRule="auto"/>
            </w:pPr>
            <w:r>
              <w:rPr>
                <w:sz w:val="18"/>
              </w:rPr>
              <w:t>119,7</w:t>
            </w:r>
          </w:p>
        </w:tc>
        <w:tc>
          <w:tcPr>
            <w:tcW w:type="dxa" w:w="1204"/>
          </w:tcPr>
          <w:p>
            <w:pPr>
              <w:spacing w:after="20" w:line="240" w:lineRule="auto"/>
            </w:pPr>
            <w:r>
              <w:rPr>
                <w:sz w:val="18"/>
              </w:rPr>
              <w:t>0,61</w:t>
            </w:r>
          </w:p>
        </w:tc>
        <w:tc>
          <w:tcPr>
            <w:tcW w:type="dxa" w:w="2007"/>
          </w:tcPr>
          <w:p>
            <w:pPr>
              <w:spacing w:after="20" w:line="240" w:lineRule="auto"/>
            </w:pPr>
            <w:r>
              <w:rPr>
                <w:sz w:val="18"/>
              </w:rPr>
              <w:t>81,9 %</w:t>
            </w:r>
          </w:p>
        </w:tc>
      </w:tr>
      <w:tr>
        <w:tc>
          <w:tcPr>
            <w:tcW w:type="dxa" w:w="1605"/>
            <w:shd w:val="clear" w:color="auto" w:fill="F3F6FA"/>
          </w:tcPr>
          <w:p>
            <w:pPr>
              <w:spacing w:after="20" w:line="240" w:lineRule="auto"/>
            </w:pPr>
            <w:r>
              <w:rPr>
                <w:sz w:val="18"/>
              </w:rPr>
              <w:t>1-72 h</w:t>
            </w:r>
          </w:p>
        </w:tc>
        <w:tc>
          <w:tcPr>
            <w:tcW w:type="dxa" w:w="1304"/>
            <w:shd w:val="clear" w:color="auto" w:fill="F3F6FA"/>
          </w:tcPr>
          <w:p>
            <w:pPr>
              <w:spacing w:after="20" w:line="240" w:lineRule="auto"/>
            </w:pPr>
            <w:r>
              <w:rPr>
                <w:sz w:val="18"/>
              </w:rPr>
              <w:t>52,2</w:t>
            </w:r>
          </w:p>
        </w:tc>
        <w:tc>
          <w:tcPr>
            <w:tcW w:type="dxa" w:w="1304"/>
            <w:shd w:val="clear" w:color="auto" w:fill="F3F6FA"/>
          </w:tcPr>
          <w:p>
            <w:pPr>
              <w:spacing w:after="20" w:line="240" w:lineRule="auto"/>
            </w:pPr>
            <w:r>
              <w:rPr>
                <w:sz w:val="18"/>
              </w:rPr>
              <w:t>15,0 %</w:t>
            </w:r>
          </w:p>
        </w:tc>
        <w:tc>
          <w:tcPr>
            <w:tcW w:type="dxa" w:w="2207"/>
            <w:shd w:val="clear" w:color="auto" w:fill="F3F6FA"/>
          </w:tcPr>
          <w:p>
            <w:pPr>
              <w:spacing w:after="20" w:line="240" w:lineRule="auto"/>
            </w:pPr>
            <w:r>
              <w:rPr>
                <w:sz w:val="18"/>
              </w:rPr>
              <w:t>114,9</w:t>
            </w:r>
          </w:p>
        </w:tc>
        <w:tc>
          <w:tcPr>
            <w:tcW w:type="dxa" w:w="1204"/>
            <w:shd w:val="clear" w:color="auto" w:fill="F3F6FA"/>
          </w:tcPr>
          <w:p>
            <w:pPr>
              <w:spacing w:after="20" w:line="240" w:lineRule="auto"/>
            </w:pPr>
            <w:r>
              <w:rPr>
                <w:sz w:val="18"/>
              </w:rPr>
              <w:t>0,45</w:t>
            </w:r>
          </w:p>
        </w:tc>
        <w:tc>
          <w:tcPr>
            <w:tcW w:type="dxa" w:w="2007"/>
            <w:shd w:val="clear" w:color="auto" w:fill="F3F6FA"/>
          </w:tcPr>
          <w:p>
            <w:pPr>
              <w:spacing w:after="20" w:line="240" w:lineRule="auto"/>
            </w:pPr>
            <w:r>
              <w:rPr>
                <w:sz w:val="18"/>
              </w:rPr>
              <w:t>83,2 %</w:t>
            </w:r>
          </w:p>
        </w:tc>
      </w:tr>
    </w:tbl>
    <w:p>
      <w:r>
        <w:rPr>
          <w:color w:val="595959"/>
          <w:sz w:val="17"/>
        </w:rPr>
        <w:t>El error crece con el horizonte, como es de esperar, pero a 49-72 h el modelo sigue cometiendo el 61 % del error de la persistencia.</w:t>
      </w:r>
    </w:p>
    <w:p>
      <w:pPr>
        <w:pStyle w:val="Heading2"/>
      </w:pPr>
      <w:r>
        <w:t>9.3 Por régimen climático</w:t>
      </w:r>
    </w:p>
    <w:p>
      <w:pPr>
        <w:keepNext/>
        <w:spacing w:after="60"/>
      </w:pPr>
      <w:r>
        <w:rPr>
          <w:b/>
          <w:color w:val="1F4E79"/>
          <w:sz w:val="20"/>
        </w:rPr>
        <w:t>Tabla 17. MAE (COP/kWh) por régimen en 2026</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tblHeader w:val="true"/>
        </w:trPr>
        <w:tc>
          <w:tcPr>
            <w:tcW w:type="dxa" w:w="2873"/>
            <w:shd w:val="clear" w:color="auto" w:fill="1F4E79"/>
          </w:tcPr>
          <w:p>
            <w:pPr>
              <w:spacing w:after="20" w:line="240" w:lineRule="auto"/>
            </w:pPr>
            <w:r>
              <w:rPr>
                <w:b/>
                <w:color w:val="FFFFFF"/>
                <w:sz w:val="18"/>
              </w:rPr>
              <w:t>Periodo</w:t>
            </w:r>
          </w:p>
        </w:tc>
        <w:tc>
          <w:tcPr>
            <w:tcW w:type="dxa" w:w="1352"/>
            <w:shd w:val="clear" w:color="auto" w:fill="1F4E79"/>
          </w:tcPr>
          <w:p>
            <w:pPr>
              <w:spacing w:after="20" w:line="240" w:lineRule="auto"/>
            </w:pPr>
            <w:r>
              <w:rPr>
                <w:b/>
                <w:color w:val="FFFFFF"/>
                <w:sz w:val="18"/>
              </w:rPr>
              <w:t>Augur</w:t>
            </w:r>
          </w:p>
        </w:tc>
        <w:tc>
          <w:tcPr>
            <w:tcW w:type="dxa" w:w="1690"/>
            <w:shd w:val="clear" w:color="auto" w:fill="1F4E79"/>
          </w:tcPr>
          <w:p>
            <w:pPr>
              <w:spacing w:after="20" w:line="240" w:lineRule="auto"/>
            </w:pPr>
            <w:r>
              <w:rPr>
                <w:b/>
                <w:color w:val="FFFFFF"/>
                <w:sz w:val="18"/>
              </w:rPr>
              <w:t>Predespacho</w:t>
            </w:r>
          </w:p>
        </w:tc>
        <w:tc>
          <w:tcPr>
            <w:tcW w:type="dxa" w:w="1690"/>
            <w:shd w:val="clear" w:color="auto" w:fill="1F4E79"/>
          </w:tcPr>
          <w:p>
            <w:pPr>
              <w:spacing w:after="20" w:line="240" w:lineRule="auto"/>
            </w:pPr>
            <w:r>
              <w:rPr>
                <w:b/>
                <w:color w:val="FFFFFF"/>
                <w:sz w:val="18"/>
              </w:rPr>
              <w:t>Persistencia</w:t>
            </w:r>
          </w:p>
        </w:tc>
        <w:tc>
          <w:tcPr>
            <w:tcW w:type="dxa" w:w="2028"/>
            <w:shd w:val="clear" w:color="auto" w:fill="1F4E79"/>
          </w:tcPr>
          <w:p>
            <w:pPr>
              <w:spacing w:after="20" w:line="240" w:lineRule="auto"/>
            </w:pPr>
            <w:r>
              <w:rPr>
                <w:b/>
                <w:color w:val="FFFFFF"/>
                <w:sz w:val="18"/>
              </w:rPr>
              <w:t>DM vs predespacho</w:t>
            </w:r>
          </w:p>
        </w:tc>
      </w:tr>
      <w:tr>
        <w:tc>
          <w:tcPr>
            <w:tcW w:type="dxa" w:w="2873"/>
          </w:tcPr>
          <w:p>
            <w:pPr>
              <w:spacing w:after="20" w:line="240" w:lineRule="auto"/>
            </w:pPr>
            <w:r>
              <w:rPr>
                <w:sz w:val="18"/>
              </w:rPr>
              <w:t>Enero a abril (normal)</w:t>
            </w:r>
          </w:p>
        </w:tc>
        <w:tc>
          <w:tcPr>
            <w:tcW w:type="dxa" w:w="1352"/>
          </w:tcPr>
          <w:p>
            <w:pPr>
              <w:spacing w:after="20" w:line="240" w:lineRule="auto"/>
            </w:pPr>
            <w:r>
              <w:rPr>
                <w:sz w:val="18"/>
              </w:rPr>
              <w:t>22,8</w:t>
            </w:r>
          </w:p>
        </w:tc>
        <w:tc>
          <w:tcPr>
            <w:tcW w:type="dxa" w:w="1690"/>
          </w:tcPr>
          <w:p>
            <w:pPr>
              <w:spacing w:after="20" w:line="240" w:lineRule="auto"/>
            </w:pPr>
            <w:r>
              <w:rPr>
                <w:sz w:val="18"/>
              </w:rPr>
              <w:t>30,1</w:t>
            </w:r>
          </w:p>
        </w:tc>
        <w:tc>
          <w:tcPr>
            <w:tcW w:type="dxa" w:w="1690"/>
          </w:tcPr>
          <w:p>
            <w:pPr>
              <w:spacing w:after="20" w:line="240" w:lineRule="auto"/>
            </w:pPr>
            <w:r>
              <w:rPr>
                <w:sz w:val="18"/>
              </w:rPr>
              <w:t>61,3</w:t>
            </w:r>
          </w:p>
        </w:tc>
        <w:tc>
          <w:tcPr>
            <w:tcW w:type="dxa" w:w="2028"/>
          </w:tcPr>
          <w:p>
            <w:pPr>
              <w:spacing w:after="20" w:line="240" w:lineRule="auto"/>
            </w:pPr>
            <w:r>
              <w:rPr>
                <w:sz w:val="18"/>
              </w:rPr>
              <w:t>12,69</w:t>
            </w:r>
          </w:p>
        </w:tc>
      </w:tr>
      <w:tr>
        <w:tc>
          <w:tcPr>
            <w:tcW w:type="dxa" w:w="2873"/>
            <w:shd w:val="clear" w:color="auto" w:fill="F3F6FA"/>
          </w:tcPr>
          <w:p>
            <w:pPr>
              <w:spacing w:after="20" w:line="240" w:lineRule="auto"/>
            </w:pPr>
            <w:r>
              <w:rPr>
                <w:sz w:val="18"/>
              </w:rPr>
              <w:t>Mayo a agosto (El Niño)</w:t>
            </w:r>
          </w:p>
        </w:tc>
        <w:tc>
          <w:tcPr>
            <w:tcW w:type="dxa" w:w="1352"/>
            <w:shd w:val="clear" w:color="auto" w:fill="F3F6FA"/>
          </w:tcPr>
          <w:p>
            <w:pPr>
              <w:spacing w:after="20" w:line="240" w:lineRule="auto"/>
            </w:pPr>
            <w:r>
              <w:rPr>
                <w:sz w:val="18"/>
              </w:rPr>
              <w:t>48,5</w:t>
            </w:r>
          </w:p>
        </w:tc>
        <w:tc>
          <w:tcPr>
            <w:tcW w:type="dxa" w:w="1690"/>
            <w:shd w:val="clear" w:color="auto" w:fill="F3F6FA"/>
          </w:tcPr>
          <w:p>
            <w:pPr>
              <w:spacing w:after="20" w:line="240" w:lineRule="auto"/>
            </w:pPr>
            <w:r>
              <w:rPr>
                <w:sz w:val="18"/>
              </w:rPr>
              <w:t>49,2</w:t>
            </w:r>
          </w:p>
        </w:tc>
        <w:tc>
          <w:tcPr>
            <w:tcW w:type="dxa" w:w="1690"/>
            <w:shd w:val="clear" w:color="auto" w:fill="F3F6FA"/>
          </w:tcPr>
          <w:p>
            <w:pPr>
              <w:spacing w:after="20" w:line="240" w:lineRule="auto"/>
            </w:pPr>
            <w:r>
              <w:rPr>
                <w:sz w:val="18"/>
              </w:rPr>
              <w:t>161,2</w:t>
            </w:r>
          </w:p>
        </w:tc>
        <w:tc>
          <w:tcPr>
            <w:tcW w:type="dxa" w:w="2028"/>
            <w:shd w:val="clear" w:color="auto" w:fill="F3F6FA"/>
          </w:tcPr>
          <w:p>
            <w:pPr>
              <w:spacing w:after="20" w:line="240" w:lineRule="auto"/>
            </w:pPr>
            <w:r>
              <w:rPr>
                <w:sz w:val="18"/>
              </w:rPr>
              <w:t>0,90</w:t>
            </w:r>
          </w:p>
        </w:tc>
      </w:tr>
    </w:tbl>
    <w:p>
      <w:r>
        <w:rPr>
          <w:color w:val="595959"/>
          <w:sz w:val="17"/>
        </w:rPr>
        <w:t>En régimen normal Augur mejora con claridad al predespacho; con El Niño los dos quedan casi iguales (diferencia no significativa) y ambos superan ampliamente a la persistencia.</w:t>
      </w:r>
    </w:p>
    <w:p>
      <w:pPr>
        <w:pStyle w:val="Heading2"/>
      </w:pPr>
      <w:r>
        <w:t>9.4 Validación histórica 2020-2025</w:t>
      </w:r>
    </w:p>
    <w:p>
      <w:pPr>
        <w:keepNext/>
        <w:spacing w:after="60"/>
      </w:pPr>
      <w:r>
        <w:rPr>
          <w:b/>
          <w:color w:val="1F4E79"/>
          <w:sz w:val="20"/>
        </w:rPr>
        <w:t>Tabla 18. MAE en cinco años históricos (jul-2020 a jun-2025)</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tblHeader w:val="true"/>
        </w:trPr>
        <w:tc>
          <w:tcPr>
            <w:tcW w:type="dxa" w:w="2236"/>
            <w:shd w:val="clear" w:color="auto" w:fill="1F4E79"/>
          </w:tcPr>
          <w:p>
            <w:pPr>
              <w:spacing w:after="20" w:line="240" w:lineRule="auto"/>
            </w:pPr>
            <w:r>
              <w:rPr>
                <w:b/>
                <w:color w:val="FFFFFF"/>
                <w:sz w:val="18"/>
              </w:rPr>
              <w:t>Origen (año)</w:t>
            </w:r>
          </w:p>
        </w:tc>
        <w:tc>
          <w:tcPr>
            <w:tcW w:type="dxa" w:w="1720"/>
            <w:shd w:val="clear" w:color="auto" w:fill="1F4E79"/>
          </w:tcPr>
          <w:p>
            <w:pPr>
              <w:spacing w:after="20" w:line="240" w:lineRule="auto"/>
            </w:pPr>
            <w:r>
              <w:rPr>
                <w:b/>
                <w:color w:val="FFFFFF"/>
                <w:sz w:val="18"/>
              </w:rPr>
              <w:t>Predespacho</w:t>
            </w:r>
          </w:p>
        </w:tc>
        <w:tc>
          <w:tcPr>
            <w:tcW w:type="dxa" w:w="1892"/>
            <w:shd w:val="clear" w:color="auto" w:fill="1F4E79"/>
          </w:tcPr>
          <w:p>
            <w:pPr>
              <w:spacing w:after="20" w:line="240" w:lineRule="auto"/>
            </w:pPr>
            <w:r>
              <w:rPr>
                <w:b/>
                <w:color w:val="FFFFFF"/>
                <w:sz w:val="18"/>
              </w:rPr>
              <w:t>Versión simple</w:t>
            </w:r>
          </w:p>
        </w:tc>
        <w:tc>
          <w:tcPr>
            <w:tcW w:type="dxa" w:w="1720"/>
            <w:shd w:val="clear" w:color="auto" w:fill="1F4E79"/>
          </w:tcPr>
          <w:p>
            <w:pPr>
              <w:spacing w:after="20" w:line="240" w:lineRule="auto"/>
            </w:pPr>
            <w:r>
              <w:rPr>
                <w:b/>
                <w:color w:val="FFFFFF"/>
                <w:sz w:val="18"/>
              </w:rPr>
              <w:t>Augur (v2)</w:t>
            </w:r>
          </w:p>
        </w:tc>
        <w:tc>
          <w:tcPr>
            <w:tcW w:type="dxa" w:w="2064"/>
            <w:shd w:val="clear" w:color="auto" w:fill="1F4E79"/>
          </w:tcPr>
          <w:p>
            <w:pPr>
              <w:spacing w:after="20" w:line="240" w:lineRule="auto"/>
            </w:pPr>
            <w:r>
              <w:rPr>
                <w:b/>
                <w:color w:val="FFFFFF"/>
                <w:sz w:val="18"/>
              </w:rPr>
              <w:t>DM v2 vs simple</w:t>
            </w:r>
          </w:p>
        </w:tc>
      </w:tr>
      <w:tr>
        <w:tc>
          <w:tcPr>
            <w:tcW w:type="dxa" w:w="2236"/>
          </w:tcPr>
          <w:p>
            <w:pPr>
              <w:spacing w:after="20" w:line="240" w:lineRule="auto"/>
            </w:pPr>
            <w:r>
              <w:rPr>
                <w:sz w:val="18"/>
              </w:rPr>
              <w:t>Origen 1</w:t>
            </w:r>
          </w:p>
        </w:tc>
        <w:tc>
          <w:tcPr>
            <w:tcW w:type="dxa" w:w="1720"/>
          </w:tcPr>
          <w:p>
            <w:pPr>
              <w:spacing w:after="20" w:line="240" w:lineRule="auto"/>
            </w:pPr>
            <w:r>
              <w:rPr>
                <w:sz w:val="18"/>
              </w:rPr>
              <w:t>13,6</w:t>
            </w:r>
          </w:p>
        </w:tc>
        <w:tc>
          <w:tcPr>
            <w:tcW w:type="dxa" w:w="1892"/>
          </w:tcPr>
          <w:p>
            <w:pPr>
              <w:spacing w:after="20" w:line="240" w:lineRule="auto"/>
            </w:pPr>
            <w:r>
              <w:rPr>
                <w:sz w:val="18"/>
              </w:rPr>
              <w:t>9,3</w:t>
            </w:r>
          </w:p>
        </w:tc>
        <w:tc>
          <w:tcPr>
            <w:tcW w:type="dxa" w:w="1720"/>
          </w:tcPr>
          <w:p>
            <w:pPr>
              <w:spacing w:after="20" w:line="240" w:lineRule="auto"/>
            </w:pPr>
            <w:r>
              <w:rPr>
                <w:sz w:val="18"/>
              </w:rPr>
              <w:t>9,2</w:t>
            </w:r>
          </w:p>
        </w:tc>
        <w:tc>
          <w:tcPr>
            <w:tcW w:type="dxa" w:w="2064"/>
          </w:tcPr>
          <w:p>
            <w:pPr>
              <w:spacing w:after="20" w:line="240" w:lineRule="auto"/>
            </w:pPr>
            <w:r>
              <w:rPr>
                <w:sz w:val="18"/>
              </w:rPr>
              <w:t>−3,12</w:t>
            </w:r>
          </w:p>
        </w:tc>
      </w:tr>
      <w:tr>
        <w:tc>
          <w:tcPr>
            <w:tcW w:type="dxa" w:w="2236"/>
            <w:shd w:val="clear" w:color="auto" w:fill="F3F6FA"/>
          </w:tcPr>
          <w:p>
            <w:pPr>
              <w:spacing w:after="20" w:line="240" w:lineRule="auto"/>
            </w:pPr>
            <w:r>
              <w:rPr>
                <w:sz w:val="18"/>
              </w:rPr>
              <w:t>Origen 2</w:t>
            </w:r>
          </w:p>
        </w:tc>
        <w:tc>
          <w:tcPr>
            <w:tcW w:type="dxa" w:w="1720"/>
            <w:shd w:val="clear" w:color="auto" w:fill="F3F6FA"/>
          </w:tcPr>
          <w:p>
            <w:pPr>
              <w:spacing w:after="20" w:line="240" w:lineRule="auto"/>
            </w:pPr>
            <w:r>
              <w:rPr>
                <w:sz w:val="18"/>
              </w:rPr>
              <w:t>12,5</w:t>
            </w:r>
          </w:p>
        </w:tc>
        <w:tc>
          <w:tcPr>
            <w:tcW w:type="dxa" w:w="1892"/>
            <w:shd w:val="clear" w:color="auto" w:fill="F3F6FA"/>
          </w:tcPr>
          <w:p>
            <w:pPr>
              <w:spacing w:after="20" w:line="240" w:lineRule="auto"/>
            </w:pPr>
            <w:r>
              <w:rPr>
                <w:sz w:val="18"/>
              </w:rPr>
              <w:t>11,9</w:t>
            </w:r>
          </w:p>
        </w:tc>
        <w:tc>
          <w:tcPr>
            <w:tcW w:type="dxa" w:w="1720"/>
            <w:shd w:val="clear" w:color="auto" w:fill="F3F6FA"/>
          </w:tcPr>
          <w:p>
            <w:pPr>
              <w:spacing w:after="20" w:line="240" w:lineRule="auto"/>
            </w:pPr>
            <w:r>
              <w:rPr>
                <w:sz w:val="18"/>
              </w:rPr>
              <w:t>11,6</w:t>
            </w:r>
          </w:p>
        </w:tc>
        <w:tc>
          <w:tcPr>
            <w:tcW w:type="dxa" w:w="2064"/>
            <w:shd w:val="clear" w:color="auto" w:fill="F3F6FA"/>
          </w:tcPr>
          <w:p>
            <w:pPr>
              <w:spacing w:after="20" w:line="240" w:lineRule="auto"/>
            </w:pPr>
            <w:r>
              <w:rPr>
                <w:sz w:val="18"/>
              </w:rPr>
              <w:t>−3,62</w:t>
            </w:r>
          </w:p>
        </w:tc>
      </w:tr>
      <w:tr>
        <w:tc>
          <w:tcPr>
            <w:tcW w:type="dxa" w:w="2236"/>
          </w:tcPr>
          <w:p>
            <w:pPr>
              <w:spacing w:after="20" w:line="240" w:lineRule="auto"/>
            </w:pPr>
            <w:r>
              <w:rPr>
                <w:sz w:val="18"/>
              </w:rPr>
              <w:t>Origen 3</w:t>
            </w:r>
          </w:p>
        </w:tc>
        <w:tc>
          <w:tcPr>
            <w:tcW w:type="dxa" w:w="1720"/>
          </w:tcPr>
          <w:p>
            <w:pPr>
              <w:spacing w:after="20" w:line="240" w:lineRule="auto"/>
            </w:pPr>
            <w:r>
              <w:rPr>
                <w:sz w:val="18"/>
              </w:rPr>
              <w:t>23,5</w:t>
            </w:r>
          </w:p>
        </w:tc>
        <w:tc>
          <w:tcPr>
            <w:tcW w:type="dxa" w:w="1892"/>
          </w:tcPr>
          <w:p>
            <w:pPr>
              <w:spacing w:after="20" w:line="240" w:lineRule="auto"/>
            </w:pPr>
            <w:r>
              <w:rPr>
                <w:sz w:val="18"/>
              </w:rPr>
              <w:t>21,3</w:t>
            </w:r>
          </w:p>
        </w:tc>
        <w:tc>
          <w:tcPr>
            <w:tcW w:type="dxa" w:w="1720"/>
          </w:tcPr>
          <w:p>
            <w:pPr>
              <w:spacing w:after="20" w:line="240" w:lineRule="auto"/>
            </w:pPr>
            <w:r>
              <w:rPr>
                <w:sz w:val="18"/>
              </w:rPr>
              <w:t>21,1</w:t>
            </w:r>
          </w:p>
        </w:tc>
        <w:tc>
          <w:tcPr>
            <w:tcW w:type="dxa" w:w="2064"/>
          </w:tcPr>
          <w:p>
            <w:pPr>
              <w:spacing w:after="20" w:line="240" w:lineRule="auto"/>
            </w:pPr>
            <w:r>
              <w:rPr>
                <w:sz w:val="18"/>
              </w:rPr>
              <w:t>−2,98</w:t>
            </w:r>
          </w:p>
        </w:tc>
      </w:tr>
      <w:tr>
        <w:tc>
          <w:tcPr>
            <w:tcW w:type="dxa" w:w="2236"/>
            <w:shd w:val="clear" w:color="auto" w:fill="F3F6FA"/>
          </w:tcPr>
          <w:p>
            <w:pPr>
              <w:spacing w:after="20" w:line="240" w:lineRule="auto"/>
            </w:pPr>
            <w:r>
              <w:rPr>
                <w:sz w:val="18"/>
              </w:rPr>
              <w:t>Origen 4</w:t>
            </w:r>
          </w:p>
        </w:tc>
        <w:tc>
          <w:tcPr>
            <w:tcW w:type="dxa" w:w="1720"/>
            <w:shd w:val="clear" w:color="auto" w:fill="F3F6FA"/>
          </w:tcPr>
          <w:p>
            <w:pPr>
              <w:spacing w:after="20" w:line="240" w:lineRule="auto"/>
            </w:pPr>
            <w:r>
              <w:rPr>
                <w:sz w:val="18"/>
              </w:rPr>
              <w:t>37,0</w:t>
            </w:r>
          </w:p>
        </w:tc>
        <w:tc>
          <w:tcPr>
            <w:tcW w:type="dxa" w:w="1892"/>
            <w:shd w:val="clear" w:color="auto" w:fill="F3F6FA"/>
          </w:tcPr>
          <w:p>
            <w:pPr>
              <w:spacing w:after="20" w:line="240" w:lineRule="auto"/>
            </w:pPr>
            <w:r>
              <w:rPr>
                <w:sz w:val="18"/>
              </w:rPr>
              <w:t>36,3</w:t>
            </w:r>
          </w:p>
        </w:tc>
        <w:tc>
          <w:tcPr>
            <w:tcW w:type="dxa" w:w="1720"/>
            <w:shd w:val="clear" w:color="auto" w:fill="F3F6FA"/>
          </w:tcPr>
          <w:p>
            <w:pPr>
              <w:spacing w:after="20" w:line="240" w:lineRule="auto"/>
            </w:pPr>
            <w:r>
              <w:rPr>
                <w:sz w:val="18"/>
              </w:rPr>
              <w:t>36,2</w:t>
            </w:r>
          </w:p>
        </w:tc>
        <w:tc>
          <w:tcPr>
            <w:tcW w:type="dxa" w:w="2064"/>
            <w:shd w:val="clear" w:color="auto" w:fill="F3F6FA"/>
          </w:tcPr>
          <w:p>
            <w:pPr>
              <w:spacing w:after="20" w:line="240" w:lineRule="auto"/>
            </w:pPr>
            <w:r>
              <w:rPr>
                <w:sz w:val="18"/>
              </w:rPr>
              <w:t>−1,86</w:t>
            </w:r>
          </w:p>
        </w:tc>
      </w:tr>
      <w:tr>
        <w:tc>
          <w:tcPr>
            <w:tcW w:type="dxa" w:w="2236"/>
          </w:tcPr>
          <w:p>
            <w:pPr>
              <w:spacing w:after="20" w:line="240" w:lineRule="auto"/>
            </w:pPr>
            <w:r>
              <w:rPr>
                <w:sz w:val="18"/>
              </w:rPr>
              <w:t>Origen 5</w:t>
            </w:r>
          </w:p>
        </w:tc>
        <w:tc>
          <w:tcPr>
            <w:tcW w:type="dxa" w:w="1720"/>
          </w:tcPr>
          <w:p>
            <w:pPr>
              <w:spacing w:after="20" w:line="240" w:lineRule="auto"/>
            </w:pPr>
            <w:r>
              <w:rPr>
                <w:sz w:val="18"/>
              </w:rPr>
              <w:t>59,5</w:t>
            </w:r>
          </w:p>
        </w:tc>
        <w:tc>
          <w:tcPr>
            <w:tcW w:type="dxa" w:w="1892"/>
          </w:tcPr>
          <w:p>
            <w:pPr>
              <w:spacing w:after="20" w:line="240" w:lineRule="auto"/>
            </w:pPr>
            <w:r>
              <w:rPr>
                <w:sz w:val="18"/>
              </w:rPr>
              <w:t>56,6</w:t>
            </w:r>
          </w:p>
        </w:tc>
        <w:tc>
          <w:tcPr>
            <w:tcW w:type="dxa" w:w="1720"/>
          </w:tcPr>
          <w:p>
            <w:pPr>
              <w:spacing w:after="20" w:line="240" w:lineRule="auto"/>
            </w:pPr>
            <w:r>
              <w:rPr>
                <w:sz w:val="18"/>
              </w:rPr>
              <w:t>56,6</w:t>
            </w:r>
          </w:p>
        </w:tc>
        <w:tc>
          <w:tcPr>
            <w:tcW w:type="dxa" w:w="2064"/>
          </w:tcPr>
          <w:p>
            <w:pPr>
              <w:spacing w:after="20" w:line="240" w:lineRule="auto"/>
            </w:pPr>
            <w:r>
              <w:rPr>
                <w:sz w:val="18"/>
              </w:rPr>
              <w:t>−0,28</w:t>
            </w:r>
          </w:p>
        </w:tc>
      </w:tr>
    </w:tbl>
    <w:p>
      <w:r>
        <w:rPr>
          <w:color w:val="595959"/>
          <w:sz w:val="17"/>
        </w:rPr>
        <w:t>Augur gana al predespacho en los cinco años. DM negativo = la versión v2 (tres CatBoost) se equivoca menos que la simple (un CatBoost); significativa en los orígenes 1 a 3.</w:t>
      </w:r>
    </w:p>
    <w:p>
      <w:pPr>
        <w:pStyle w:val="Heading2"/>
      </w:pPr>
      <w:r>
        <w:t>9.5 Operación en vivo</w:t>
      </w:r>
    </w:p>
    <w:p>
      <w:pPr>
        <w:jc w:val="both"/>
      </w:pPr>
      <w:r>
        <w:t>Desde el 5 de agosto el sistema corre solo todos los días. Entre esa fecha y el 11 de octubre (último precio publicado al cierre de esta versión, 1.631 horas) el MAE fue 47,8 COP/kWh frente a 49,4 del predespacho, y la cobertura de la banda 74,1 %. Por mes: agosto 28,6, septiembre 55,3 y octubre 74,4.</w:t>
      </w:r>
    </w:p>
    <w:p>
      <w:pPr>
        <w:jc w:val="both"/>
      </w:pPr>
      <w:r>
        <w:t>El salto de septiembre coincide con la activación de la Resolución CREG 101 127 (9 de septiembre): el error del predespacho de XM se duplicó en las mismas fechas, lo que indica un cambio en cómo se forma el precio y no una falla del modelo. Se probaron dos adaptaciones: dar más peso a los datos recientes (empeora) y agregar como variable una aproximación de la curva de referencia de las ofertas hidráulicas de la resolución. Esta última mejora en 2026, pero en los años históricos gana en 2 de 5, empata en 2 y pierde en 2024-25, así que no se adoptó.</w:t>
      </w:r>
    </w:p>
    <w:p>
      <w:pPr>
        <w:pStyle w:val="Heading2"/>
      </w:pPr>
      <w:r>
        <w:t>9.6 Detector de eventos y motor</w:t>
      </w:r>
    </w:p>
    <w:p>
      <w:pPr>
        <w:keepNext/>
        <w:spacing w:after="60"/>
      </w:pPr>
      <w:r>
        <w:rPr>
          <w:b/>
          <w:color w:val="1F4E79"/>
          <w:sz w:val="20"/>
        </w:rPr>
        <w:t>Tabla 19. Detección de picos y desplomes en 2026</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1290"/>
            <w:shd w:val="clear" w:color="auto" w:fill="1F4E79"/>
          </w:tcPr>
          <w:p>
            <w:pPr>
              <w:spacing w:after="20" w:line="240" w:lineRule="auto"/>
            </w:pPr>
            <w:r>
              <w:rPr>
                <w:b/>
                <w:color w:val="FFFFFF"/>
                <w:sz w:val="17"/>
              </w:rPr>
              <w:t>Evento</w:t>
            </w:r>
          </w:p>
        </w:tc>
        <w:tc>
          <w:tcPr>
            <w:tcW w:type="dxa" w:w="2752"/>
            <w:shd w:val="clear" w:color="auto" w:fill="1F4E79"/>
          </w:tcPr>
          <w:p>
            <w:pPr>
              <w:spacing w:after="20" w:line="240" w:lineRule="auto"/>
            </w:pPr>
            <w:r>
              <w:rPr>
                <w:b/>
                <w:color w:val="FFFFFF"/>
                <w:sz w:val="17"/>
              </w:rPr>
              <w:t>Método</w:t>
            </w:r>
          </w:p>
        </w:tc>
        <w:tc>
          <w:tcPr>
            <w:tcW w:type="dxa" w:w="946"/>
            <w:shd w:val="clear" w:color="auto" w:fill="1F4E79"/>
          </w:tcPr>
          <w:p>
            <w:pPr>
              <w:spacing w:after="20" w:line="240" w:lineRule="auto"/>
            </w:pPr>
            <w:r>
              <w:rPr>
                <w:b/>
                <w:color w:val="FFFFFF"/>
                <w:sz w:val="17"/>
              </w:rPr>
              <w:t>Brier</w:t>
            </w:r>
          </w:p>
        </w:tc>
        <w:tc>
          <w:tcPr>
            <w:tcW w:type="dxa" w:w="860"/>
            <w:shd w:val="clear" w:color="auto" w:fill="1F4E79"/>
          </w:tcPr>
          <w:p>
            <w:pPr>
              <w:spacing w:after="20" w:line="240" w:lineRule="auto"/>
            </w:pPr>
            <w:r>
              <w:rPr>
                <w:b/>
                <w:color w:val="FFFFFF"/>
                <w:sz w:val="17"/>
              </w:rPr>
              <w:t>BSS</w:t>
            </w:r>
          </w:p>
        </w:tc>
        <w:tc>
          <w:tcPr>
            <w:tcW w:type="dxa" w:w="860"/>
            <w:shd w:val="clear" w:color="auto" w:fill="1F4E79"/>
          </w:tcPr>
          <w:p>
            <w:pPr>
              <w:spacing w:after="20" w:line="240" w:lineRule="auto"/>
            </w:pPr>
            <w:r>
              <w:rPr>
                <w:b/>
                <w:color w:val="FFFFFF"/>
                <w:sz w:val="17"/>
              </w:rPr>
              <w:t>AUC</w:t>
            </w:r>
          </w:p>
        </w:tc>
        <w:tc>
          <w:tcPr>
            <w:tcW w:type="dxa" w:w="1548"/>
            <w:shd w:val="clear" w:color="auto" w:fill="1F4E79"/>
          </w:tcPr>
          <w:p>
            <w:pPr>
              <w:spacing w:after="20" w:line="240" w:lineRule="auto"/>
            </w:pPr>
            <w:r>
              <w:rPr>
                <w:b/>
                <w:color w:val="FFFFFF"/>
                <w:sz w:val="17"/>
              </w:rPr>
              <w:t>Detectados</w:t>
            </w:r>
          </w:p>
        </w:tc>
        <w:tc>
          <w:tcPr>
            <w:tcW w:type="dxa" w:w="1376"/>
            <w:shd w:val="clear" w:color="auto" w:fill="1F4E79"/>
          </w:tcPr>
          <w:p>
            <w:pPr>
              <w:spacing w:after="20" w:line="240" w:lineRule="auto"/>
            </w:pPr>
            <w:r>
              <w:rPr>
                <w:b/>
                <w:color w:val="FFFFFF"/>
                <w:sz w:val="17"/>
              </w:rPr>
              <w:t>Falsas alarmas</w:t>
            </w:r>
          </w:p>
        </w:tc>
      </w:tr>
      <w:tr>
        <w:tc>
          <w:tcPr>
            <w:tcW w:type="dxa" w:w="1290"/>
          </w:tcPr>
          <w:p>
            <w:pPr>
              <w:spacing w:after="20" w:line="240" w:lineRule="auto"/>
            </w:pPr>
            <w:r>
              <w:rPr>
                <w:sz w:val="17"/>
              </w:rPr>
              <w:t>desplome</w:t>
            </w:r>
          </w:p>
        </w:tc>
        <w:tc>
          <w:tcPr>
            <w:tcW w:type="dxa" w:w="2752"/>
          </w:tcPr>
          <w:p>
            <w:pPr>
              <w:spacing w:after="20" w:line="240" w:lineRule="auto"/>
            </w:pPr>
            <w:r>
              <w:rPr>
                <w:sz w:val="17"/>
              </w:rPr>
              <w:t>climatologia por hora</w:t>
            </w:r>
          </w:p>
        </w:tc>
        <w:tc>
          <w:tcPr>
            <w:tcW w:type="dxa" w:w="946"/>
          </w:tcPr>
          <w:p>
            <w:pPr>
              <w:spacing w:after="20" w:line="240" w:lineRule="auto"/>
            </w:pPr>
            <w:r>
              <w:rPr>
                <w:sz w:val="17"/>
              </w:rPr>
              <w:t>0,041</w:t>
            </w:r>
          </w:p>
        </w:tc>
        <w:tc>
          <w:tcPr>
            <w:tcW w:type="dxa" w:w="860"/>
          </w:tcPr>
          <w:p>
            <w:pPr>
              <w:spacing w:after="20" w:line="240" w:lineRule="auto"/>
            </w:pPr>
            <w:r>
              <w:rPr>
                <w:sz w:val="17"/>
              </w:rPr>
              <w:t>0,00</w:t>
            </w:r>
          </w:p>
        </w:tc>
        <w:tc>
          <w:tcPr>
            <w:tcW w:type="dxa" w:w="860"/>
          </w:tcPr>
          <w:p>
            <w:pPr>
              <w:spacing w:after="20" w:line="240" w:lineRule="auto"/>
            </w:pPr>
            <w:r>
              <w:rPr>
                <w:sz w:val="17"/>
              </w:rPr>
              <w:t>0,64</w:t>
            </w:r>
          </w:p>
        </w:tc>
        <w:tc>
          <w:tcPr>
            <w:tcW w:type="dxa" w:w="1548"/>
          </w:tcPr>
          <w:p>
            <w:pPr>
              <w:spacing w:after="20" w:line="240" w:lineRule="auto"/>
            </w:pPr>
            <w:r>
              <w:rPr>
                <w:sz w:val="17"/>
              </w:rPr>
              <w:t>0 de 199</w:t>
            </w:r>
          </w:p>
        </w:tc>
        <w:tc>
          <w:tcPr>
            <w:tcW w:type="dxa" w:w="1376"/>
          </w:tcPr>
          <w:p>
            <w:pPr>
              <w:spacing w:after="20" w:line="240" w:lineRule="auto"/>
            </w:pPr>
            <w:r>
              <w:rPr>
                <w:sz w:val="17"/>
              </w:rPr>
              <w:t>0</w:t>
            </w:r>
          </w:p>
        </w:tc>
      </w:tr>
      <w:tr>
        <w:tc>
          <w:tcPr>
            <w:tcW w:type="dxa" w:w="1290"/>
            <w:shd w:val="clear" w:color="auto" w:fill="F3F6FA"/>
          </w:tcPr>
          <w:p>
            <w:pPr>
              <w:spacing w:after="20" w:line="240" w:lineRule="auto"/>
            </w:pPr>
            <w:r>
              <w:rPr>
                <w:sz w:val="17"/>
              </w:rPr>
              <w:t>desplome</w:t>
            </w:r>
          </w:p>
        </w:tc>
        <w:tc>
          <w:tcPr>
            <w:tcW w:type="dxa" w:w="2752"/>
            <w:shd w:val="clear" w:color="auto" w:fill="F3F6FA"/>
          </w:tcPr>
          <w:p>
            <w:pPr>
              <w:spacing w:after="20" w:line="240" w:lineRule="auto"/>
            </w:pPr>
            <w:r>
              <w:rPr>
                <w:sz w:val="17"/>
              </w:rPr>
              <w:t>predespacho solo (0/1)</w:t>
            </w:r>
          </w:p>
        </w:tc>
        <w:tc>
          <w:tcPr>
            <w:tcW w:type="dxa" w:w="946"/>
            <w:shd w:val="clear" w:color="auto" w:fill="F3F6FA"/>
          </w:tcPr>
          <w:p>
            <w:pPr>
              <w:spacing w:after="20" w:line="240" w:lineRule="auto"/>
            </w:pPr>
            <w:r>
              <w:rPr>
                <w:sz w:val="17"/>
              </w:rPr>
              <w:t>0,035</w:t>
            </w:r>
          </w:p>
        </w:tc>
        <w:tc>
          <w:tcPr>
            <w:tcW w:type="dxa" w:w="860"/>
            <w:shd w:val="clear" w:color="auto" w:fill="F3F6FA"/>
          </w:tcPr>
          <w:p>
            <w:pPr>
              <w:spacing w:after="20" w:line="240" w:lineRule="auto"/>
            </w:pPr>
            <w:r>
              <w:rPr>
                <w:sz w:val="17"/>
              </w:rPr>
              <w:t>0,15</w:t>
            </w:r>
          </w:p>
        </w:tc>
        <w:tc>
          <w:tcPr>
            <w:tcW w:type="dxa" w:w="860"/>
            <w:shd w:val="clear" w:color="auto" w:fill="F3F6FA"/>
          </w:tcPr>
          <w:p>
            <w:pPr>
              <w:spacing w:after="20" w:line="240" w:lineRule="auto"/>
            </w:pPr>
            <w:r>
              <w:rPr>
                <w:sz w:val="17"/>
              </w:rPr>
              <w:t>0,66</w:t>
            </w:r>
          </w:p>
        </w:tc>
        <w:tc>
          <w:tcPr>
            <w:tcW w:type="dxa" w:w="1548"/>
            <w:shd w:val="clear" w:color="auto" w:fill="F3F6FA"/>
          </w:tcPr>
          <w:p>
            <w:pPr>
              <w:spacing w:after="20" w:line="240" w:lineRule="auto"/>
            </w:pPr>
            <w:r>
              <w:rPr>
                <w:sz w:val="17"/>
              </w:rPr>
              <w:t>65 de 199</w:t>
            </w:r>
          </w:p>
        </w:tc>
        <w:tc>
          <w:tcPr>
            <w:tcW w:type="dxa" w:w="1376"/>
            <w:shd w:val="clear" w:color="auto" w:fill="F3F6FA"/>
          </w:tcPr>
          <w:p>
            <w:pPr>
              <w:spacing w:after="20" w:line="240" w:lineRule="auto"/>
            </w:pPr>
            <w:r>
              <w:rPr>
                <w:sz w:val="17"/>
              </w:rPr>
              <w:t>46</w:t>
            </w:r>
          </w:p>
        </w:tc>
      </w:tr>
      <w:tr>
        <w:tc>
          <w:tcPr>
            <w:tcW w:type="dxa" w:w="1290"/>
          </w:tcPr>
          <w:p>
            <w:pPr>
              <w:spacing w:after="20" w:line="240" w:lineRule="auto"/>
            </w:pPr>
            <w:r>
              <w:rPr>
                <w:sz w:val="17"/>
              </w:rPr>
              <w:t>desplome</w:t>
            </w:r>
          </w:p>
        </w:tc>
        <w:tc>
          <w:tcPr>
            <w:tcW w:type="dxa" w:w="2752"/>
          </w:tcPr>
          <w:p>
            <w:pPr>
              <w:spacing w:after="20" w:line="240" w:lineRule="auto"/>
            </w:pPr>
            <w:r>
              <w:rPr>
                <w:sz w:val="17"/>
              </w:rPr>
              <w:t>clasificador realista</w:t>
            </w:r>
          </w:p>
        </w:tc>
        <w:tc>
          <w:tcPr>
            <w:tcW w:type="dxa" w:w="946"/>
          </w:tcPr>
          <w:p>
            <w:pPr>
              <w:spacing w:after="20" w:line="240" w:lineRule="auto"/>
            </w:pPr>
            <w:r>
              <w:rPr>
                <w:sz w:val="17"/>
              </w:rPr>
              <w:t>0,027</w:t>
            </w:r>
          </w:p>
        </w:tc>
        <w:tc>
          <w:tcPr>
            <w:tcW w:type="dxa" w:w="860"/>
          </w:tcPr>
          <w:p>
            <w:pPr>
              <w:spacing w:after="20" w:line="240" w:lineRule="auto"/>
            </w:pPr>
            <w:r>
              <w:rPr>
                <w:sz w:val="17"/>
              </w:rPr>
              <w:t>0,33</w:t>
            </w:r>
          </w:p>
        </w:tc>
        <w:tc>
          <w:tcPr>
            <w:tcW w:type="dxa" w:w="860"/>
          </w:tcPr>
          <w:p>
            <w:pPr>
              <w:spacing w:after="20" w:line="240" w:lineRule="auto"/>
            </w:pPr>
            <w:r>
              <w:rPr>
                <w:sz w:val="17"/>
              </w:rPr>
              <w:t>0,94</w:t>
            </w:r>
          </w:p>
        </w:tc>
        <w:tc>
          <w:tcPr>
            <w:tcW w:type="dxa" w:w="1548"/>
          </w:tcPr>
          <w:p>
            <w:pPr>
              <w:spacing w:after="20" w:line="240" w:lineRule="auto"/>
            </w:pPr>
            <w:r>
              <w:rPr>
                <w:sz w:val="17"/>
              </w:rPr>
              <w:t>55 de 199</w:t>
            </w:r>
          </w:p>
        </w:tc>
        <w:tc>
          <w:tcPr>
            <w:tcW w:type="dxa" w:w="1376"/>
          </w:tcPr>
          <w:p>
            <w:pPr>
              <w:spacing w:after="20" w:line="240" w:lineRule="auto"/>
            </w:pPr>
            <w:r>
              <w:rPr>
                <w:sz w:val="17"/>
              </w:rPr>
              <w:t>32</w:t>
            </w:r>
          </w:p>
        </w:tc>
      </w:tr>
      <w:tr>
        <w:tc>
          <w:tcPr>
            <w:tcW w:type="dxa" w:w="1290"/>
            <w:shd w:val="clear" w:color="auto" w:fill="F3F6FA"/>
          </w:tcPr>
          <w:p>
            <w:pPr>
              <w:spacing w:after="20" w:line="240" w:lineRule="auto"/>
            </w:pPr>
            <w:r>
              <w:rPr>
                <w:sz w:val="17"/>
              </w:rPr>
              <w:t>pico</w:t>
            </w:r>
          </w:p>
        </w:tc>
        <w:tc>
          <w:tcPr>
            <w:tcW w:type="dxa" w:w="2752"/>
            <w:shd w:val="clear" w:color="auto" w:fill="F3F6FA"/>
          </w:tcPr>
          <w:p>
            <w:pPr>
              <w:spacing w:after="20" w:line="240" w:lineRule="auto"/>
            </w:pPr>
            <w:r>
              <w:rPr>
                <w:sz w:val="17"/>
              </w:rPr>
              <w:t>climatologia por hora</w:t>
            </w:r>
          </w:p>
        </w:tc>
        <w:tc>
          <w:tcPr>
            <w:tcW w:type="dxa" w:w="946"/>
            <w:shd w:val="clear" w:color="auto" w:fill="F3F6FA"/>
          </w:tcPr>
          <w:p>
            <w:pPr>
              <w:spacing w:after="20" w:line="240" w:lineRule="auto"/>
            </w:pPr>
            <w:r>
              <w:rPr>
                <w:sz w:val="17"/>
              </w:rPr>
              <w:t>0,084</w:t>
            </w:r>
          </w:p>
        </w:tc>
        <w:tc>
          <w:tcPr>
            <w:tcW w:type="dxa" w:w="860"/>
            <w:shd w:val="clear" w:color="auto" w:fill="F3F6FA"/>
          </w:tcPr>
          <w:p>
            <w:pPr>
              <w:spacing w:after="20" w:line="240" w:lineRule="auto"/>
            </w:pPr>
            <w:r>
              <w:rPr>
                <w:sz w:val="17"/>
              </w:rPr>
              <w:t>0,00</w:t>
            </w:r>
          </w:p>
        </w:tc>
        <w:tc>
          <w:tcPr>
            <w:tcW w:type="dxa" w:w="860"/>
            <w:shd w:val="clear" w:color="auto" w:fill="F3F6FA"/>
          </w:tcPr>
          <w:p>
            <w:pPr>
              <w:spacing w:after="20" w:line="240" w:lineRule="auto"/>
            </w:pPr>
            <w:r>
              <w:rPr>
                <w:sz w:val="17"/>
              </w:rPr>
              <w:t>0,86</w:t>
            </w:r>
          </w:p>
        </w:tc>
        <w:tc>
          <w:tcPr>
            <w:tcW w:type="dxa" w:w="1548"/>
            <w:shd w:val="clear" w:color="auto" w:fill="F3F6FA"/>
          </w:tcPr>
          <w:p>
            <w:pPr>
              <w:spacing w:after="20" w:line="240" w:lineRule="auto"/>
            </w:pPr>
            <w:r>
              <w:rPr>
                <w:sz w:val="17"/>
              </w:rPr>
              <w:t>0 de 566</w:t>
            </w:r>
          </w:p>
        </w:tc>
        <w:tc>
          <w:tcPr>
            <w:tcW w:type="dxa" w:w="1376"/>
            <w:shd w:val="clear" w:color="auto" w:fill="F3F6FA"/>
          </w:tcPr>
          <w:p>
            <w:pPr>
              <w:spacing w:after="20" w:line="240" w:lineRule="auto"/>
            </w:pPr>
            <w:r>
              <w:rPr>
                <w:sz w:val="17"/>
              </w:rPr>
              <w:t>0</w:t>
            </w:r>
          </w:p>
        </w:tc>
      </w:tr>
      <w:tr>
        <w:tc>
          <w:tcPr>
            <w:tcW w:type="dxa" w:w="1290"/>
          </w:tcPr>
          <w:p>
            <w:pPr>
              <w:spacing w:after="20" w:line="240" w:lineRule="auto"/>
            </w:pPr>
            <w:r>
              <w:rPr>
                <w:sz w:val="17"/>
              </w:rPr>
              <w:t>pico</w:t>
            </w:r>
          </w:p>
        </w:tc>
        <w:tc>
          <w:tcPr>
            <w:tcW w:type="dxa" w:w="2752"/>
          </w:tcPr>
          <w:p>
            <w:pPr>
              <w:spacing w:after="20" w:line="240" w:lineRule="auto"/>
            </w:pPr>
            <w:r>
              <w:rPr>
                <w:sz w:val="17"/>
              </w:rPr>
              <w:t>predespacho solo (0/1)</w:t>
            </w:r>
          </w:p>
        </w:tc>
        <w:tc>
          <w:tcPr>
            <w:tcW w:type="dxa" w:w="946"/>
          </w:tcPr>
          <w:p>
            <w:pPr>
              <w:spacing w:after="20" w:line="240" w:lineRule="auto"/>
            </w:pPr>
            <w:r>
              <w:rPr>
                <w:sz w:val="17"/>
              </w:rPr>
              <w:t>0,053</w:t>
            </w:r>
          </w:p>
        </w:tc>
        <w:tc>
          <w:tcPr>
            <w:tcW w:type="dxa" w:w="860"/>
          </w:tcPr>
          <w:p>
            <w:pPr>
              <w:spacing w:after="20" w:line="240" w:lineRule="auto"/>
            </w:pPr>
            <w:r>
              <w:rPr>
                <w:sz w:val="17"/>
              </w:rPr>
              <w:t>0,36</w:t>
            </w:r>
          </w:p>
        </w:tc>
        <w:tc>
          <w:tcPr>
            <w:tcW w:type="dxa" w:w="860"/>
          </w:tcPr>
          <w:p>
            <w:pPr>
              <w:spacing w:after="20" w:line="240" w:lineRule="auto"/>
            </w:pPr>
            <w:r>
              <w:rPr>
                <w:sz w:val="17"/>
              </w:rPr>
              <w:t>0,87</w:t>
            </w:r>
          </w:p>
        </w:tc>
        <w:tc>
          <w:tcPr>
            <w:tcW w:type="dxa" w:w="1548"/>
          </w:tcPr>
          <w:p>
            <w:pPr>
              <w:spacing w:after="20" w:line="240" w:lineRule="auto"/>
            </w:pPr>
            <w:r>
              <w:rPr>
                <w:sz w:val="17"/>
              </w:rPr>
              <w:t>442 de 566</w:t>
            </w:r>
          </w:p>
        </w:tc>
        <w:tc>
          <w:tcPr>
            <w:tcW w:type="dxa" w:w="1376"/>
          </w:tcPr>
          <w:p>
            <w:pPr>
              <w:spacing w:after="20" w:line="240" w:lineRule="auto"/>
            </w:pPr>
            <w:r>
              <w:rPr>
                <w:sz w:val="17"/>
              </w:rPr>
              <w:t>153</w:t>
            </w:r>
          </w:p>
        </w:tc>
      </w:tr>
      <w:tr>
        <w:tc>
          <w:tcPr>
            <w:tcW w:type="dxa" w:w="1290"/>
            <w:shd w:val="clear" w:color="auto" w:fill="F3F6FA"/>
          </w:tcPr>
          <w:p>
            <w:pPr>
              <w:spacing w:after="20" w:line="240" w:lineRule="auto"/>
            </w:pPr>
            <w:r>
              <w:rPr>
                <w:sz w:val="17"/>
              </w:rPr>
              <w:t>pico</w:t>
            </w:r>
          </w:p>
        </w:tc>
        <w:tc>
          <w:tcPr>
            <w:tcW w:type="dxa" w:w="2752"/>
            <w:shd w:val="clear" w:color="auto" w:fill="F3F6FA"/>
          </w:tcPr>
          <w:p>
            <w:pPr>
              <w:spacing w:after="20" w:line="240" w:lineRule="auto"/>
            </w:pPr>
            <w:r>
              <w:rPr>
                <w:sz w:val="17"/>
              </w:rPr>
              <w:t>clasificador realista</w:t>
            </w:r>
          </w:p>
        </w:tc>
        <w:tc>
          <w:tcPr>
            <w:tcW w:type="dxa" w:w="946"/>
            <w:shd w:val="clear" w:color="auto" w:fill="F3F6FA"/>
          </w:tcPr>
          <w:p>
            <w:pPr>
              <w:spacing w:after="20" w:line="240" w:lineRule="auto"/>
            </w:pPr>
            <w:r>
              <w:rPr>
                <w:sz w:val="17"/>
              </w:rPr>
              <w:t>0,040</w:t>
            </w:r>
          </w:p>
        </w:tc>
        <w:tc>
          <w:tcPr>
            <w:tcW w:type="dxa" w:w="860"/>
            <w:shd w:val="clear" w:color="auto" w:fill="F3F6FA"/>
          </w:tcPr>
          <w:p>
            <w:pPr>
              <w:spacing w:after="20" w:line="240" w:lineRule="auto"/>
            </w:pPr>
            <w:r>
              <w:rPr>
                <w:sz w:val="17"/>
              </w:rPr>
              <w:t>0,53</w:t>
            </w:r>
          </w:p>
        </w:tc>
        <w:tc>
          <w:tcPr>
            <w:tcW w:type="dxa" w:w="860"/>
            <w:shd w:val="clear" w:color="auto" w:fill="F3F6FA"/>
          </w:tcPr>
          <w:p>
            <w:pPr>
              <w:spacing w:after="20" w:line="240" w:lineRule="auto"/>
            </w:pPr>
            <w:r>
              <w:rPr>
                <w:sz w:val="17"/>
              </w:rPr>
              <w:t>0,97</w:t>
            </w:r>
          </w:p>
        </w:tc>
        <w:tc>
          <w:tcPr>
            <w:tcW w:type="dxa" w:w="1548"/>
            <w:shd w:val="clear" w:color="auto" w:fill="F3F6FA"/>
          </w:tcPr>
          <w:p>
            <w:pPr>
              <w:spacing w:after="20" w:line="240" w:lineRule="auto"/>
            </w:pPr>
            <w:r>
              <w:rPr>
                <w:sz w:val="17"/>
              </w:rPr>
              <w:t>403 de 566</w:t>
            </w:r>
          </w:p>
        </w:tc>
        <w:tc>
          <w:tcPr>
            <w:tcW w:type="dxa" w:w="1376"/>
            <w:shd w:val="clear" w:color="auto" w:fill="F3F6FA"/>
          </w:tcPr>
          <w:p>
            <w:pPr>
              <w:spacing w:after="20" w:line="240" w:lineRule="auto"/>
            </w:pPr>
            <w:r>
              <w:rPr>
                <w:sz w:val="17"/>
              </w:rPr>
              <w:t>110</w:t>
            </w:r>
          </w:p>
        </w:tc>
      </w:tr>
    </w:tbl>
    <w:p>
      <w:r>
        <w:rPr>
          <w:color w:val="595959"/>
          <w:sz w:val="17"/>
        </w:rPr>
        <w:t>Detectados y falsas alarmas con un umbral de probabilidad de 0,5.</w:t>
      </w:r>
    </w:p>
    <w:p>
      <w:pPr>
        <w:keepNext/>
        <w:spacing w:after="60"/>
      </w:pPr>
      <w:r>
        <w:rPr>
          <w:b/>
          <w:color w:val="1F4E79"/>
          <w:sz w:val="20"/>
        </w:rPr>
        <w:t>Tabla 20. Motor de decisión en 2026 (ventaja en COP/kWh)</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3090"/>
            <w:shd w:val="clear" w:color="auto" w:fill="1F4E79"/>
          </w:tcPr>
          <w:p>
            <w:pPr>
              <w:spacing w:after="20" w:line="240" w:lineRule="auto"/>
            </w:pPr>
            <w:r>
              <w:rPr>
                <w:b/>
                <w:color w:val="FFFFFF"/>
                <w:sz w:val="18"/>
              </w:rPr>
              <w:t>Rol y horizonte</w:t>
            </w:r>
          </w:p>
        </w:tc>
        <w:tc>
          <w:tcPr>
            <w:tcW w:type="dxa" w:w="2181"/>
            <w:shd w:val="clear" w:color="auto" w:fill="1F4E79"/>
          </w:tcPr>
          <w:p>
            <w:pPr>
              <w:spacing w:after="20" w:line="240" w:lineRule="auto"/>
            </w:pPr>
            <w:r>
              <w:rPr>
                <w:b/>
                <w:color w:val="FFFFFF"/>
                <w:sz w:val="18"/>
              </w:rPr>
              <w:t>Método elegido</w:t>
            </w:r>
          </w:p>
        </w:tc>
        <w:tc>
          <w:tcPr>
            <w:tcW w:type="dxa" w:w="2181"/>
            <w:shd w:val="clear" w:color="auto" w:fill="1F4E79"/>
          </w:tcPr>
          <w:p>
            <w:pPr>
              <w:spacing w:after="20" w:line="240" w:lineRule="auto"/>
            </w:pPr>
            <w:r>
              <w:rPr>
                <w:b/>
                <w:color w:val="FFFFFF"/>
                <w:sz w:val="18"/>
              </w:rPr>
              <w:t>Ventaja 1.ª mitad</w:t>
            </w:r>
          </w:p>
        </w:tc>
        <w:tc>
          <w:tcPr>
            <w:tcW w:type="dxa" w:w="2181"/>
            <w:shd w:val="clear" w:color="auto" w:fill="1F4E79"/>
          </w:tcPr>
          <w:p>
            <w:pPr>
              <w:spacing w:after="20" w:line="240" w:lineRule="auto"/>
            </w:pPr>
            <w:r>
              <w:rPr>
                <w:b/>
                <w:color w:val="FFFFFF"/>
                <w:sz w:val="18"/>
              </w:rPr>
              <w:t>Ventaja 2.ª mitad</w:t>
            </w:r>
          </w:p>
        </w:tc>
      </w:tr>
      <w:tr>
        <w:tc>
          <w:tcPr>
            <w:tcW w:type="dxa" w:w="3090"/>
          </w:tcPr>
          <w:p>
            <w:pPr>
              <w:spacing w:after="20" w:line="240" w:lineRule="auto"/>
            </w:pPr>
            <w:r>
              <w:rPr>
                <w:sz w:val="18"/>
              </w:rPr>
              <w:t>generador 24h</w:t>
            </w:r>
          </w:p>
        </w:tc>
        <w:tc>
          <w:tcPr>
            <w:tcW w:type="dxa" w:w="2181"/>
          </w:tcPr>
          <w:p>
            <w:pPr>
              <w:spacing w:after="20" w:line="240" w:lineRule="auto"/>
            </w:pPr>
            <w:r>
              <w:rPr>
                <w:sz w:val="18"/>
              </w:rPr>
              <w:t>rodante</w:t>
            </w:r>
          </w:p>
        </w:tc>
        <w:tc>
          <w:tcPr>
            <w:tcW w:type="dxa" w:w="2181"/>
          </w:tcPr>
          <w:p>
            <w:pPr>
              <w:spacing w:after="20" w:line="240" w:lineRule="auto"/>
            </w:pPr>
            <w:r>
              <w:rPr>
                <w:sz w:val="18"/>
              </w:rPr>
              <w:t>109,3</w:t>
            </w:r>
          </w:p>
        </w:tc>
        <w:tc>
          <w:tcPr>
            <w:tcW w:type="dxa" w:w="2181"/>
          </w:tcPr>
          <w:p>
            <w:pPr>
              <w:spacing w:after="20" w:line="240" w:lineRule="auto"/>
            </w:pPr>
            <w:r>
              <w:rPr>
                <w:sz w:val="18"/>
              </w:rPr>
              <w:t>238,4</w:t>
            </w:r>
          </w:p>
        </w:tc>
      </w:tr>
      <w:tr>
        <w:tc>
          <w:tcPr>
            <w:tcW w:type="dxa" w:w="3090"/>
            <w:shd w:val="clear" w:color="auto" w:fill="F3F6FA"/>
          </w:tcPr>
          <w:p>
            <w:pPr>
              <w:spacing w:after="20" w:line="240" w:lineRule="auto"/>
            </w:pPr>
            <w:r>
              <w:rPr>
                <w:sz w:val="18"/>
              </w:rPr>
              <w:t>comercializador 24h</w:t>
            </w:r>
          </w:p>
        </w:tc>
        <w:tc>
          <w:tcPr>
            <w:tcW w:type="dxa" w:w="2181"/>
            <w:shd w:val="clear" w:color="auto" w:fill="F3F6FA"/>
          </w:tcPr>
          <w:p>
            <w:pPr>
              <w:spacing w:after="20" w:line="240" w:lineRule="auto"/>
            </w:pPr>
            <w:r>
              <w:rPr>
                <w:sz w:val="18"/>
              </w:rPr>
              <w:t>rodante</w:t>
            </w:r>
          </w:p>
        </w:tc>
        <w:tc>
          <w:tcPr>
            <w:tcW w:type="dxa" w:w="2181"/>
            <w:shd w:val="clear" w:color="auto" w:fill="F3F6FA"/>
          </w:tcPr>
          <w:p>
            <w:pPr>
              <w:spacing w:after="20" w:line="240" w:lineRule="auto"/>
            </w:pPr>
            <w:r>
              <w:rPr>
                <w:sz w:val="18"/>
              </w:rPr>
              <w:t>81,5</w:t>
            </w:r>
          </w:p>
        </w:tc>
        <w:tc>
          <w:tcPr>
            <w:tcW w:type="dxa" w:w="2181"/>
            <w:shd w:val="clear" w:color="auto" w:fill="F3F6FA"/>
          </w:tcPr>
          <w:p>
            <w:pPr>
              <w:spacing w:after="20" w:line="240" w:lineRule="auto"/>
            </w:pPr>
            <w:r>
              <w:rPr>
                <w:sz w:val="18"/>
              </w:rPr>
              <w:t>257,8</w:t>
            </w:r>
          </w:p>
        </w:tc>
      </w:tr>
      <w:tr>
        <w:tc>
          <w:tcPr>
            <w:tcW w:type="dxa" w:w="3090"/>
          </w:tcPr>
          <w:p>
            <w:pPr>
              <w:spacing w:after="20" w:line="240" w:lineRule="auto"/>
            </w:pPr>
            <w:r>
              <w:rPr>
                <w:sz w:val="18"/>
              </w:rPr>
              <w:t>generador 72h</w:t>
            </w:r>
          </w:p>
        </w:tc>
        <w:tc>
          <w:tcPr>
            <w:tcW w:type="dxa" w:w="2181"/>
          </w:tcPr>
          <w:p>
            <w:pPr>
              <w:spacing w:after="20" w:line="240" w:lineRule="auto"/>
            </w:pPr>
            <w:r>
              <w:rPr>
                <w:sz w:val="18"/>
              </w:rPr>
              <w:t>rodante</w:t>
            </w:r>
          </w:p>
        </w:tc>
        <w:tc>
          <w:tcPr>
            <w:tcW w:type="dxa" w:w="2181"/>
          </w:tcPr>
          <w:p>
            <w:pPr>
              <w:spacing w:after="20" w:line="240" w:lineRule="auto"/>
            </w:pPr>
            <w:r>
              <w:rPr>
                <w:sz w:val="18"/>
              </w:rPr>
              <w:t>116,4</w:t>
            </w:r>
          </w:p>
        </w:tc>
        <w:tc>
          <w:tcPr>
            <w:tcW w:type="dxa" w:w="2181"/>
          </w:tcPr>
          <w:p>
            <w:pPr>
              <w:spacing w:after="20" w:line="240" w:lineRule="auto"/>
            </w:pPr>
            <w:r>
              <w:rPr>
                <w:sz w:val="18"/>
              </w:rPr>
              <w:t>229,2</w:t>
            </w:r>
          </w:p>
        </w:tc>
      </w:tr>
      <w:tr>
        <w:tc>
          <w:tcPr>
            <w:tcW w:type="dxa" w:w="3090"/>
            <w:shd w:val="clear" w:color="auto" w:fill="F3F6FA"/>
          </w:tcPr>
          <w:p>
            <w:pPr>
              <w:spacing w:after="20" w:line="240" w:lineRule="auto"/>
            </w:pPr>
            <w:r>
              <w:rPr>
                <w:sz w:val="18"/>
              </w:rPr>
              <w:t>comercializador 72h</w:t>
            </w:r>
          </w:p>
        </w:tc>
        <w:tc>
          <w:tcPr>
            <w:tcW w:type="dxa" w:w="2181"/>
            <w:shd w:val="clear" w:color="auto" w:fill="F3F6FA"/>
          </w:tcPr>
          <w:p>
            <w:pPr>
              <w:spacing w:after="20" w:line="240" w:lineRule="auto"/>
            </w:pPr>
            <w:r>
              <w:rPr>
                <w:sz w:val="18"/>
              </w:rPr>
              <w:t>rodante</w:t>
            </w:r>
          </w:p>
        </w:tc>
        <w:tc>
          <w:tcPr>
            <w:tcW w:type="dxa" w:w="2181"/>
            <w:shd w:val="clear" w:color="auto" w:fill="F3F6FA"/>
          </w:tcPr>
          <w:p>
            <w:pPr>
              <w:spacing w:after="20" w:line="240" w:lineRule="auto"/>
            </w:pPr>
            <w:r>
              <w:rPr>
                <w:sz w:val="18"/>
              </w:rPr>
              <w:t>79,8</w:t>
            </w:r>
          </w:p>
        </w:tc>
        <w:tc>
          <w:tcPr>
            <w:tcW w:type="dxa" w:w="2181"/>
            <w:shd w:val="clear" w:color="auto" w:fill="F3F6FA"/>
          </w:tcPr>
          <w:p>
            <w:pPr>
              <w:spacing w:after="20" w:line="240" w:lineRule="auto"/>
            </w:pPr>
            <w:r>
              <w:rPr>
                <w:sz w:val="18"/>
              </w:rPr>
              <w:t>244,1</w:t>
            </w:r>
          </w:p>
        </w:tc>
      </w:tr>
    </w:tbl>
    <w:p>
      <w:r>
        <w:rPr>
          <w:color w:val="595959"/>
          <w:sz w:val="17"/>
        </w:rPr>
        <w:t>Precio medio del periodo: 394,9 COP/kWh. Las mitades se dividen el 2026-04-19. La ventaja no es una simulación de portafolio (sección 12).</w:t>
      </w:r>
    </w:p>
    <w:p>
      <w:pPr>
        <w:pStyle w:val="Heading2"/>
      </w:pPr>
      <w:r>
        <w:t>9.7 Justificación del diseño: benchmark y walk-forward con información realista</w:t>
      </w:r>
    </w:p>
    <w:p>
      <w:pPr>
        <w:jc w:val="both"/>
      </w:pPr>
      <w:r>
        <w:t>Cada componente se eligió con el mismo protocolo: comparar todos los candidatos razonables en las mismas horas, en cinco años históricos (15 de julio a 30 de junio, de 2020-21 a 2024-25) y en 2026, solo con la información pública al corte, y aceptar una diferencia solo si es significativa en la prueba de Diebold-Mariano.</w:t>
      </w:r>
    </w:p>
    <w:p>
      <w:pPr>
        <w:keepNext/>
        <w:spacing w:after="60"/>
      </w:pPr>
      <w:r>
        <w:rPr>
          <w:b/>
          <w:color w:val="1F4E79"/>
          <w:sz w:val="20"/>
        </w:rPr>
        <w:t>Tabla 21. MAE (COP/kWh) de los modelos que corrigen el predespacho</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3400"/>
            <w:shd w:val="clear" w:color="auto" w:fill="1F4E79"/>
          </w:tcPr>
          <w:p>
            <w:pPr>
              <w:spacing w:after="20" w:line="240" w:lineRule="auto"/>
            </w:pPr>
            <w:r>
              <w:rPr>
                <w:b/>
                <w:color w:val="FFFFFF"/>
                <w:sz w:val="17"/>
              </w:rPr>
              <w:t>Modelo</w:t>
            </w:r>
          </w:p>
        </w:tc>
        <w:tc>
          <w:tcPr>
            <w:tcW w:type="dxa" w:w="890"/>
            <w:shd w:val="clear" w:color="auto" w:fill="1F4E79"/>
          </w:tcPr>
          <w:p>
            <w:pPr>
              <w:spacing w:after="20" w:line="240" w:lineRule="auto"/>
            </w:pPr>
            <w:r>
              <w:rPr>
                <w:b/>
                <w:color w:val="FFFFFF"/>
                <w:sz w:val="17"/>
              </w:rPr>
              <w:t>2020-21</w:t>
            </w:r>
          </w:p>
        </w:tc>
        <w:tc>
          <w:tcPr>
            <w:tcW w:type="dxa" w:w="890"/>
            <w:shd w:val="clear" w:color="auto" w:fill="1F4E79"/>
          </w:tcPr>
          <w:p>
            <w:pPr>
              <w:spacing w:after="20" w:line="240" w:lineRule="auto"/>
            </w:pPr>
            <w:r>
              <w:rPr>
                <w:b/>
                <w:color w:val="FFFFFF"/>
                <w:sz w:val="17"/>
              </w:rPr>
              <w:t>2021-22</w:t>
            </w:r>
          </w:p>
        </w:tc>
        <w:tc>
          <w:tcPr>
            <w:tcW w:type="dxa" w:w="890"/>
            <w:shd w:val="clear" w:color="auto" w:fill="1F4E79"/>
          </w:tcPr>
          <w:p>
            <w:pPr>
              <w:spacing w:after="20" w:line="240" w:lineRule="auto"/>
            </w:pPr>
            <w:r>
              <w:rPr>
                <w:b/>
                <w:color w:val="FFFFFF"/>
                <w:sz w:val="17"/>
              </w:rPr>
              <w:t>2022-23</w:t>
            </w:r>
          </w:p>
        </w:tc>
        <w:tc>
          <w:tcPr>
            <w:tcW w:type="dxa" w:w="890"/>
            <w:shd w:val="clear" w:color="auto" w:fill="1F4E79"/>
          </w:tcPr>
          <w:p>
            <w:pPr>
              <w:spacing w:after="20" w:line="240" w:lineRule="auto"/>
            </w:pPr>
            <w:r>
              <w:rPr>
                <w:b/>
                <w:color w:val="FFFFFF"/>
                <w:sz w:val="17"/>
              </w:rPr>
              <w:t>2023-24</w:t>
            </w:r>
          </w:p>
        </w:tc>
        <w:tc>
          <w:tcPr>
            <w:tcW w:type="dxa" w:w="890"/>
            <w:shd w:val="clear" w:color="auto" w:fill="1F4E79"/>
          </w:tcPr>
          <w:p>
            <w:pPr>
              <w:spacing w:after="20" w:line="240" w:lineRule="auto"/>
            </w:pPr>
            <w:r>
              <w:rPr>
                <w:b/>
                <w:color w:val="FFFFFF"/>
                <w:sz w:val="17"/>
              </w:rPr>
              <w:t>2024-25</w:t>
            </w:r>
          </w:p>
        </w:tc>
        <w:tc>
          <w:tcPr>
            <w:tcW w:type="dxa" w:w="890"/>
            <w:shd w:val="clear" w:color="auto" w:fill="1F4E79"/>
          </w:tcPr>
          <w:p>
            <w:pPr>
              <w:spacing w:after="20" w:line="240" w:lineRule="auto"/>
            </w:pPr>
            <w:r>
              <w:rPr>
                <w:b/>
                <w:color w:val="FFFFFF"/>
                <w:sz w:val="17"/>
              </w:rPr>
              <w:t>2026</w:t>
            </w:r>
          </w:p>
        </w:tc>
        <w:tc>
          <w:tcPr>
            <w:tcW w:type="dxa" w:w="890"/>
            <w:shd w:val="clear" w:color="auto" w:fill="1F4E79"/>
          </w:tcPr>
          <w:p>
            <w:pPr>
              <w:spacing w:after="20" w:line="240" w:lineRule="auto"/>
            </w:pPr>
            <w:r>
              <w:rPr>
                <w:b/>
                <w:color w:val="FFFFFF"/>
                <w:sz w:val="17"/>
              </w:rPr>
              <w:t>Media</w:t>
            </w:r>
          </w:p>
        </w:tc>
      </w:tr>
      <w:tr>
        <w:tc>
          <w:tcPr>
            <w:tcW w:type="dxa" w:w="3400"/>
          </w:tcPr>
          <w:p>
            <w:pPr>
              <w:spacing w:after="20" w:line="240" w:lineRule="auto"/>
            </w:pPr>
            <w:r>
              <w:rPr>
                <w:sz w:val="17"/>
              </w:rPr>
              <w:t>Persistencia</w:t>
            </w:r>
          </w:p>
        </w:tc>
        <w:tc>
          <w:tcPr>
            <w:tcW w:type="dxa" w:w="890"/>
          </w:tcPr>
          <w:p>
            <w:pPr>
              <w:spacing w:after="20" w:line="240" w:lineRule="auto"/>
            </w:pPr>
            <w:r>
              <w:rPr>
                <w:sz w:val="17"/>
              </w:rPr>
              <w:t>26,6</w:t>
            </w:r>
          </w:p>
        </w:tc>
        <w:tc>
          <w:tcPr>
            <w:tcW w:type="dxa" w:w="890"/>
          </w:tcPr>
          <w:p>
            <w:pPr>
              <w:spacing w:after="20" w:line="240" w:lineRule="auto"/>
            </w:pPr>
            <w:r>
              <w:rPr>
                <w:sz w:val="17"/>
              </w:rPr>
              <w:t>37,0</w:t>
            </w:r>
          </w:p>
        </w:tc>
        <w:tc>
          <w:tcPr>
            <w:tcW w:type="dxa" w:w="890"/>
          </w:tcPr>
          <w:p>
            <w:pPr>
              <w:spacing w:after="20" w:line="240" w:lineRule="auto"/>
            </w:pPr>
            <w:r>
              <w:rPr>
                <w:sz w:val="17"/>
              </w:rPr>
              <w:t>87,5</w:t>
            </w:r>
          </w:p>
        </w:tc>
        <w:tc>
          <w:tcPr>
            <w:tcW w:type="dxa" w:w="890"/>
          </w:tcPr>
          <w:p>
            <w:pPr>
              <w:spacing w:after="20" w:line="240" w:lineRule="auto"/>
            </w:pPr>
            <w:r>
              <w:rPr>
                <w:sz w:val="17"/>
              </w:rPr>
              <w:t>137,6</w:t>
            </w:r>
          </w:p>
        </w:tc>
        <w:tc>
          <w:tcPr>
            <w:tcW w:type="dxa" w:w="890"/>
          </w:tcPr>
          <w:p>
            <w:pPr>
              <w:spacing w:after="20" w:line="240" w:lineRule="auto"/>
            </w:pPr>
            <w:r>
              <w:rPr>
                <w:sz w:val="17"/>
              </w:rPr>
              <w:t>161,4</w:t>
            </w:r>
          </w:p>
        </w:tc>
        <w:tc>
          <w:tcPr>
            <w:tcW w:type="dxa" w:w="890"/>
          </w:tcPr>
          <w:p>
            <w:pPr>
              <w:spacing w:after="20" w:line="240" w:lineRule="auto"/>
            </w:pPr>
            <w:r>
              <w:rPr>
                <w:sz w:val="17"/>
              </w:rPr>
              <w:t>117,9</w:t>
            </w:r>
          </w:p>
        </w:tc>
        <w:tc>
          <w:tcPr>
            <w:tcW w:type="dxa" w:w="890"/>
          </w:tcPr>
          <w:p>
            <w:pPr>
              <w:spacing w:after="20" w:line="240" w:lineRule="auto"/>
            </w:pPr>
            <w:r>
              <w:rPr>
                <w:sz w:val="17"/>
              </w:rPr>
              <w:t>94,65</w:t>
            </w:r>
          </w:p>
        </w:tc>
      </w:tr>
      <w:tr>
        <w:tc>
          <w:tcPr>
            <w:tcW w:type="dxa" w:w="3400"/>
            <w:shd w:val="clear" w:color="auto" w:fill="F3F6FA"/>
          </w:tcPr>
          <w:p>
            <w:pPr>
              <w:spacing w:after="20" w:line="240" w:lineRule="auto"/>
            </w:pPr>
            <w:r>
              <w:rPr>
                <w:sz w:val="17"/>
              </w:rPr>
              <w:t>Predespacho de XM solo</w:t>
            </w:r>
          </w:p>
        </w:tc>
        <w:tc>
          <w:tcPr>
            <w:tcW w:type="dxa" w:w="890"/>
            <w:shd w:val="clear" w:color="auto" w:fill="F3F6FA"/>
          </w:tcPr>
          <w:p>
            <w:pPr>
              <w:spacing w:after="20" w:line="240" w:lineRule="auto"/>
            </w:pPr>
            <w:r>
              <w:rPr>
                <w:sz w:val="17"/>
              </w:rPr>
              <w:t>13,6</w:t>
            </w:r>
          </w:p>
        </w:tc>
        <w:tc>
          <w:tcPr>
            <w:tcW w:type="dxa" w:w="890"/>
            <w:shd w:val="clear" w:color="auto" w:fill="F3F6FA"/>
          </w:tcPr>
          <w:p>
            <w:pPr>
              <w:spacing w:after="20" w:line="240" w:lineRule="auto"/>
            </w:pPr>
            <w:r>
              <w:rPr>
                <w:sz w:val="17"/>
              </w:rPr>
              <w:t>12,5</w:t>
            </w:r>
          </w:p>
        </w:tc>
        <w:tc>
          <w:tcPr>
            <w:tcW w:type="dxa" w:w="890"/>
            <w:shd w:val="clear" w:color="auto" w:fill="F3F6FA"/>
          </w:tcPr>
          <w:p>
            <w:pPr>
              <w:spacing w:after="20" w:line="240" w:lineRule="auto"/>
            </w:pPr>
            <w:r>
              <w:rPr>
                <w:sz w:val="17"/>
              </w:rPr>
              <w:t>23,5</w:t>
            </w:r>
          </w:p>
        </w:tc>
        <w:tc>
          <w:tcPr>
            <w:tcW w:type="dxa" w:w="890"/>
            <w:shd w:val="clear" w:color="auto" w:fill="F3F6FA"/>
          </w:tcPr>
          <w:p>
            <w:pPr>
              <w:spacing w:after="20" w:line="240" w:lineRule="auto"/>
            </w:pPr>
            <w:r>
              <w:rPr>
                <w:sz w:val="17"/>
              </w:rPr>
              <w:t>37,0</w:t>
            </w:r>
          </w:p>
        </w:tc>
        <w:tc>
          <w:tcPr>
            <w:tcW w:type="dxa" w:w="890"/>
            <w:shd w:val="clear" w:color="auto" w:fill="F3F6FA"/>
          </w:tcPr>
          <w:p>
            <w:pPr>
              <w:spacing w:after="20" w:line="240" w:lineRule="auto"/>
            </w:pPr>
            <w:r>
              <w:rPr>
                <w:sz w:val="17"/>
              </w:rPr>
              <w:t>59,5</w:t>
            </w:r>
          </w:p>
        </w:tc>
        <w:tc>
          <w:tcPr>
            <w:tcW w:type="dxa" w:w="890"/>
            <w:shd w:val="clear" w:color="auto" w:fill="F3F6FA"/>
          </w:tcPr>
          <w:p>
            <w:pPr>
              <w:spacing w:after="20" w:line="240" w:lineRule="auto"/>
            </w:pPr>
            <w:r>
              <w:rPr>
                <w:sz w:val="17"/>
              </w:rPr>
              <w:t>42,0</w:t>
            </w:r>
          </w:p>
        </w:tc>
        <w:tc>
          <w:tcPr>
            <w:tcW w:type="dxa" w:w="890"/>
            <w:shd w:val="clear" w:color="auto" w:fill="F3F6FA"/>
          </w:tcPr>
          <w:p>
            <w:pPr>
              <w:spacing w:after="20" w:line="240" w:lineRule="auto"/>
            </w:pPr>
            <w:r>
              <w:rPr>
                <w:sz w:val="17"/>
              </w:rPr>
              <w:t>31,37</w:t>
            </w:r>
          </w:p>
        </w:tc>
      </w:tr>
      <w:tr>
        <w:tc>
          <w:tcPr>
            <w:tcW w:type="dxa" w:w="3400"/>
          </w:tcPr>
          <w:p>
            <w:pPr>
              <w:spacing w:after="20" w:line="240" w:lineRule="auto"/>
            </w:pPr>
            <w:r>
              <w:rPr>
                <w:sz w:val="17"/>
              </w:rPr>
              <w:t>Predespacho + CatBoost (Augur)</w:t>
            </w:r>
          </w:p>
        </w:tc>
        <w:tc>
          <w:tcPr>
            <w:tcW w:type="dxa" w:w="890"/>
          </w:tcPr>
          <w:p>
            <w:pPr>
              <w:spacing w:after="20" w:line="240" w:lineRule="auto"/>
            </w:pPr>
            <w:r>
              <w:rPr>
                <w:sz w:val="17"/>
              </w:rPr>
              <w:t>9,3</w:t>
            </w:r>
          </w:p>
        </w:tc>
        <w:tc>
          <w:tcPr>
            <w:tcW w:type="dxa" w:w="890"/>
          </w:tcPr>
          <w:p>
            <w:pPr>
              <w:spacing w:after="20" w:line="240" w:lineRule="auto"/>
            </w:pPr>
            <w:r>
              <w:rPr>
                <w:sz w:val="17"/>
              </w:rPr>
              <w:t>12,0</w:t>
            </w:r>
          </w:p>
        </w:tc>
        <w:tc>
          <w:tcPr>
            <w:tcW w:type="dxa" w:w="890"/>
          </w:tcPr>
          <w:p>
            <w:pPr>
              <w:spacing w:after="20" w:line="240" w:lineRule="auto"/>
            </w:pPr>
            <w:r>
              <w:rPr>
                <w:sz w:val="17"/>
              </w:rPr>
              <w:t>21,2</w:t>
            </w:r>
          </w:p>
        </w:tc>
        <w:tc>
          <w:tcPr>
            <w:tcW w:type="dxa" w:w="890"/>
          </w:tcPr>
          <w:p>
            <w:pPr>
              <w:spacing w:after="20" w:line="240" w:lineRule="auto"/>
            </w:pPr>
            <w:r>
              <w:rPr>
                <w:sz w:val="17"/>
              </w:rPr>
              <w:t>36,3</w:t>
            </w:r>
          </w:p>
        </w:tc>
        <w:tc>
          <w:tcPr>
            <w:tcW w:type="dxa" w:w="890"/>
          </w:tcPr>
          <w:p>
            <w:pPr>
              <w:spacing w:after="20" w:line="240" w:lineRule="auto"/>
            </w:pPr>
            <w:r>
              <w:rPr>
                <w:sz w:val="17"/>
              </w:rPr>
              <w:t>56,7</w:t>
            </w:r>
          </w:p>
        </w:tc>
        <w:tc>
          <w:tcPr>
            <w:tcW w:type="dxa" w:w="890"/>
          </w:tcPr>
          <w:p>
            <w:pPr>
              <w:spacing w:after="20" w:line="240" w:lineRule="auto"/>
            </w:pPr>
            <w:r>
              <w:rPr>
                <w:sz w:val="17"/>
              </w:rPr>
              <w:t>38,8</w:t>
            </w:r>
          </w:p>
        </w:tc>
        <w:tc>
          <w:tcPr>
            <w:tcW w:type="dxa" w:w="890"/>
          </w:tcPr>
          <w:p>
            <w:pPr>
              <w:spacing w:after="20" w:line="240" w:lineRule="auto"/>
            </w:pPr>
            <w:r>
              <w:rPr>
                <w:sz w:val="17"/>
              </w:rPr>
              <w:t>29,05</w:t>
            </w:r>
          </w:p>
        </w:tc>
      </w:tr>
      <w:tr>
        <w:tc>
          <w:tcPr>
            <w:tcW w:type="dxa" w:w="3400"/>
            <w:shd w:val="clear" w:color="auto" w:fill="F3F6FA"/>
          </w:tcPr>
          <w:p>
            <w:pPr>
              <w:spacing w:after="20" w:line="240" w:lineRule="auto"/>
            </w:pPr>
            <w:r>
              <w:rPr>
                <w:sz w:val="17"/>
              </w:rPr>
              <w:t>Predespacho + LightGBM</w:t>
            </w:r>
          </w:p>
        </w:tc>
        <w:tc>
          <w:tcPr>
            <w:tcW w:type="dxa" w:w="890"/>
            <w:shd w:val="clear" w:color="auto" w:fill="F3F6FA"/>
          </w:tcPr>
          <w:p>
            <w:pPr>
              <w:spacing w:after="20" w:line="240" w:lineRule="auto"/>
            </w:pPr>
            <w:r>
              <w:rPr>
                <w:sz w:val="17"/>
              </w:rPr>
              <w:t>9,3</w:t>
            </w:r>
          </w:p>
        </w:tc>
        <w:tc>
          <w:tcPr>
            <w:tcW w:type="dxa" w:w="890"/>
            <w:shd w:val="clear" w:color="auto" w:fill="F3F6FA"/>
          </w:tcPr>
          <w:p>
            <w:pPr>
              <w:spacing w:after="20" w:line="240" w:lineRule="auto"/>
            </w:pPr>
            <w:r>
              <w:rPr>
                <w:sz w:val="17"/>
              </w:rPr>
              <w:t>11,9</w:t>
            </w:r>
          </w:p>
        </w:tc>
        <w:tc>
          <w:tcPr>
            <w:tcW w:type="dxa" w:w="890"/>
            <w:shd w:val="clear" w:color="auto" w:fill="F3F6FA"/>
          </w:tcPr>
          <w:p>
            <w:pPr>
              <w:spacing w:after="20" w:line="240" w:lineRule="auto"/>
            </w:pPr>
            <w:r>
              <w:rPr>
                <w:sz w:val="17"/>
              </w:rPr>
              <w:t>21,2</w:t>
            </w:r>
          </w:p>
        </w:tc>
        <w:tc>
          <w:tcPr>
            <w:tcW w:type="dxa" w:w="890"/>
            <w:shd w:val="clear" w:color="auto" w:fill="F3F6FA"/>
          </w:tcPr>
          <w:p>
            <w:pPr>
              <w:spacing w:after="20" w:line="240" w:lineRule="auto"/>
            </w:pPr>
            <w:r>
              <w:rPr>
                <w:sz w:val="17"/>
              </w:rPr>
              <w:t>36,3</w:t>
            </w:r>
          </w:p>
        </w:tc>
        <w:tc>
          <w:tcPr>
            <w:tcW w:type="dxa" w:w="890"/>
            <w:shd w:val="clear" w:color="auto" w:fill="F3F6FA"/>
          </w:tcPr>
          <w:p>
            <w:pPr>
              <w:spacing w:after="20" w:line="240" w:lineRule="auto"/>
            </w:pPr>
            <w:r>
              <w:rPr>
                <w:sz w:val="17"/>
              </w:rPr>
              <w:t>56,9</w:t>
            </w:r>
          </w:p>
        </w:tc>
        <w:tc>
          <w:tcPr>
            <w:tcW w:type="dxa" w:w="890"/>
            <w:shd w:val="clear" w:color="auto" w:fill="F3F6FA"/>
          </w:tcPr>
          <w:p>
            <w:pPr>
              <w:spacing w:after="20" w:line="240" w:lineRule="auto"/>
            </w:pPr>
            <w:r>
              <w:rPr>
                <w:sz w:val="17"/>
              </w:rPr>
              <w:t>38,8</w:t>
            </w:r>
          </w:p>
        </w:tc>
        <w:tc>
          <w:tcPr>
            <w:tcW w:type="dxa" w:w="890"/>
            <w:shd w:val="clear" w:color="auto" w:fill="F3F6FA"/>
          </w:tcPr>
          <w:p>
            <w:pPr>
              <w:spacing w:after="20" w:line="240" w:lineRule="auto"/>
            </w:pPr>
            <w:r>
              <w:rPr>
                <w:sz w:val="17"/>
              </w:rPr>
              <w:t>29,09</w:t>
            </w:r>
          </w:p>
        </w:tc>
      </w:tr>
      <w:tr>
        <w:tc>
          <w:tcPr>
            <w:tcW w:type="dxa" w:w="3400"/>
          </w:tcPr>
          <w:p>
            <w:pPr>
              <w:spacing w:after="20" w:line="240" w:lineRule="auto"/>
            </w:pPr>
            <w:r>
              <w:rPr>
                <w:sz w:val="17"/>
              </w:rPr>
              <w:t>Predespacho + Random Forest</w:t>
            </w:r>
          </w:p>
        </w:tc>
        <w:tc>
          <w:tcPr>
            <w:tcW w:type="dxa" w:w="890"/>
          </w:tcPr>
          <w:p>
            <w:pPr>
              <w:spacing w:after="20" w:line="240" w:lineRule="auto"/>
            </w:pPr>
            <w:r>
              <w:rPr>
                <w:sz w:val="17"/>
              </w:rPr>
              <w:t>9,4</w:t>
            </w:r>
          </w:p>
        </w:tc>
        <w:tc>
          <w:tcPr>
            <w:tcW w:type="dxa" w:w="890"/>
          </w:tcPr>
          <w:p>
            <w:pPr>
              <w:spacing w:after="20" w:line="240" w:lineRule="auto"/>
            </w:pPr>
            <w:r>
              <w:rPr>
                <w:sz w:val="17"/>
              </w:rPr>
              <w:t>11,6</w:t>
            </w:r>
          </w:p>
        </w:tc>
        <w:tc>
          <w:tcPr>
            <w:tcW w:type="dxa" w:w="890"/>
          </w:tcPr>
          <w:p>
            <w:pPr>
              <w:spacing w:after="20" w:line="240" w:lineRule="auto"/>
            </w:pPr>
            <w:r>
              <w:rPr>
                <w:sz w:val="17"/>
              </w:rPr>
              <w:t>21,2</w:t>
            </w:r>
          </w:p>
        </w:tc>
        <w:tc>
          <w:tcPr>
            <w:tcW w:type="dxa" w:w="890"/>
          </w:tcPr>
          <w:p>
            <w:pPr>
              <w:spacing w:after="20" w:line="240" w:lineRule="auto"/>
            </w:pPr>
            <w:r>
              <w:rPr>
                <w:sz w:val="17"/>
              </w:rPr>
              <w:t>36,3</w:t>
            </w:r>
          </w:p>
        </w:tc>
        <w:tc>
          <w:tcPr>
            <w:tcW w:type="dxa" w:w="890"/>
          </w:tcPr>
          <w:p>
            <w:pPr>
              <w:spacing w:after="20" w:line="240" w:lineRule="auto"/>
            </w:pPr>
            <w:r>
              <w:rPr>
                <w:sz w:val="17"/>
              </w:rPr>
              <w:t>56,9</w:t>
            </w:r>
          </w:p>
        </w:tc>
        <w:tc>
          <w:tcPr>
            <w:tcW w:type="dxa" w:w="890"/>
          </w:tcPr>
          <w:p>
            <w:pPr>
              <w:spacing w:after="20" w:line="240" w:lineRule="auto"/>
            </w:pPr>
            <w:r>
              <w:rPr>
                <w:sz w:val="17"/>
              </w:rPr>
              <w:t>39,0</w:t>
            </w:r>
          </w:p>
        </w:tc>
        <w:tc>
          <w:tcPr>
            <w:tcW w:type="dxa" w:w="890"/>
          </w:tcPr>
          <w:p>
            <w:pPr>
              <w:spacing w:after="20" w:line="240" w:lineRule="auto"/>
            </w:pPr>
            <w:r>
              <w:rPr>
                <w:sz w:val="17"/>
              </w:rPr>
              <w:t>29,06</w:t>
            </w:r>
          </w:p>
        </w:tc>
      </w:tr>
      <w:tr>
        <w:tc>
          <w:tcPr>
            <w:tcW w:type="dxa" w:w="3400"/>
            <w:shd w:val="clear" w:color="auto" w:fill="F3F6FA"/>
          </w:tcPr>
          <w:p>
            <w:pPr>
              <w:spacing w:after="20" w:line="240" w:lineRule="auto"/>
            </w:pPr>
            <w:r>
              <w:rPr>
                <w:sz w:val="17"/>
              </w:rPr>
              <w:t>Predespacho + XGBoost</w:t>
            </w:r>
          </w:p>
        </w:tc>
        <w:tc>
          <w:tcPr>
            <w:tcW w:type="dxa" w:w="890"/>
            <w:shd w:val="clear" w:color="auto" w:fill="F3F6FA"/>
          </w:tcPr>
          <w:p>
            <w:pPr>
              <w:spacing w:after="20" w:line="240" w:lineRule="auto"/>
            </w:pPr>
            <w:r>
              <w:rPr>
                <w:sz w:val="17"/>
              </w:rPr>
              <w:t>9,4</w:t>
            </w:r>
          </w:p>
        </w:tc>
        <w:tc>
          <w:tcPr>
            <w:tcW w:type="dxa" w:w="890"/>
            <w:shd w:val="clear" w:color="auto" w:fill="F3F6FA"/>
          </w:tcPr>
          <w:p>
            <w:pPr>
              <w:spacing w:after="20" w:line="240" w:lineRule="auto"/>
            </w:pPr>
            <w:r>
              <w:rPr>
                <w:sz w:val="17"/>
              </w:rPr>
              <w:t>12,6</w:t>
            </w:r>
          </w:p>
        </w:tc>
        <w:tc>
          <w:tcPr>
            <w:tcW w:type="dxa" w:w="890"/>
            <w:shd w:val="clear" w:color="auto" w:fill="F3F6FA"/>
          </w:tcPr>
          <w:p>
            <w:pPr>
              <w:spacing w:after="20" w:line="240" w:lineRule="auto"/>
            </w:pPr>
            <w:r>
              <w:rPr>
                <w:sz w:val="17"/>
              </w:rPr>
              <w:t>21,2</w:t>
            </w:r>
          </w:p>
        </w:tc>
        <w:tc>
          <w:tcPr>
            <w:tcW w:type="dxa" w:w="890"/>
            <w:shd w:val="clear" w:color="auto" w:fill="F3F6FA"/>
          </w:tcPr>
          <w:p>
            <w:pPr>
              <w:spacing w:after="20" w:line="240" w:lineRule="auto"/>
            </w:pPr>
            <w:r>
              <w:rPr>
                <w:sz w:val="17"/>
              </w:rPr>
              <w:t>36,3</w:t>
            </w:r>
          </w:p>
        </w:tc>
        <w:tc>
          <w:tcPr>
            <w:tcW w:type="dxa" w:w="890"/>
            <w:shd w:val="clear" w:color="auto" w:fill="F3F6FA"/>
          </w:tcPr>
          <w:p>
            <w:pPr>
              <w:spacing w:after="20" w:line="240" w:lineRule="auto"/>
            </w:pPr>
            <w:r>
              <w:rPr>
                <w:sz w:val="17"/>
              </w:rPr>
              <w:t>56,9</w:t>
            </w:r>
          </w:p>
        </w:tc>
        <w:tc>
          <w:tcPr>
            <w:tcW w:type="dxa" w:w="890"/>
            <w:shd w:val="clear" w:color="auto" w:fill="F3F6FA"/>
          </w:tcPr>
          <w:p>
            <w:pPr>
              <w:spacing w:after="20" w:line="240" w:lineRule="auto"/>
            </w:pPr>
            <w:r>
              <w:rPr>
                <w:sz w:val="17"/>
              </w:rPr>
              <w:t>39,0</w:t>
            </w:r>
          </w:p>
        </w:tc>
        <w:tc>
          <w:tcPr>
            <w:tcW w:type="dxa" w:w="890"/>
            <w:shd w:val="clear" w:color="auto" w:fill="F3F6FA"/>
          </w:tcPr>
          <w:p>
            <w:pPr>
              <w:spacing w:after="20" w:line="240" w:lineRule="auto"/>
            </w:pPr>
            <w:r>
              <w:rPr>
                <w:sz w:val="17"/>
              </w:rPr>
              <w:t>29,23</w:t>
            </w:r>
          </w:p>
        </w:tc>
      </w:tr>
      <w:tr>
        <w:tc>
          <w:tcPr>
            <w:tcW w:type="dxa" w:w="3400"/>
          </w:tcPr>
          <w:p>
            <w:pPr>
              <w:spacing w:after="20" w:line="240" w:lineRule="auto"/>
            </w:pPr>
            <w:r>
              <w:rPr>
                <w:sz w:val="17"/>
              </w:rPr>
              <w:t>Predespacho + Lasso (lineal, tipo LEAR)</w:t>
            </w:r>
          </w:p>
        </w:tc>
        <w:tc>
          <w:tcPr>
            <w:tcW w:type="dxa" w:w="890"/>
          </w:tcPr>
          <w:p>
            <w:pPr>
              <w:spacing w:after="20" w:line="240" w:lineRule="auto"/>
            </w:pPr>
            <w:r>
              <w:rPr>
                <w:sz w:val="17"/>
              </w:rPr>
              <w:t>9,4</w:t>
            </w:r>
          </w:p>
        </w:tc>
        <w:tc>
          <w:tcPr>
            <w:tcW w:type="dxa" w:w="890"/>
          </w:tcPr>
          <w:p>
            <w:pPr>
              <w:spacing w:after="20" w:line="240" w:lineRule="auto"/>
            </w:pPr>
            <w:r>
              <w:rPr>
                <w:sz w:val="17"/>
              </w:rPr>
              <w:t>12,1</w:t>
            </w:r>
          </w:p>
        </w:tc>
        <w:tc>
          <w:tcPr>
            <w:tcW w:type="dxa" w:w="890"/>
          </w:tcPr>
          <w:p>
            <w:pPr>
              <w:spacing w:after="20" w:line="240" w:lineRule="auto"/>
            </w:pPr>
            <w:r>
              <w:rPr>
                <w:sz w:val="17"/>
              </w:rPr>
              <w:t>21,3</w:t>
            </w:r>
          </w:p>
        </w:tc>
        <w:tc>
          <w:tcPr>
            <w:tcW w:type="dxa" w:w="890"/>
          </w:tcPr>
          <w:p>
            <w:pPr>
              <w:spacing w:after="20" w:line="240" w:lineRule="auto"/>
            </w:pPr>
            <w:r>
              <w:rPr>
                <w:sz w:val="17"/>
              </w:rPr>
              <w:t>36,4</w:t>
            </w:r>
          </w:p>
        </w:tc>
        <w:tc>
          <w:tcPr>
            <w:tcW w:type="dxa" w:w="890"/>
          </w:tcPr>
          <w:p>
            <w:pPr>
              <w:spacing w:after="20" w:line="240" w:lineRule="auto"/>
            </w:pPr>
            <w:r>
              <w:rPr>
                <w:sz w:val="17"/>
              </w:rPr>
              <w:t>56,9</w:t>
            </w:r>
          </w:p>
        </w:tc>
        <w:tc>
          <w:tcPr>
            <w:tcW w:type="dxa" w:w="890"/>
          </w:tcPr>
          <w:p>
            <w:pPr>
              <w:spacing w:after="20" w:line="240" w:lineRule="auto"/>
            </w:pPr>
            <w:r>
              <w:rPr>
                <w:sz w:val="17"/>
              </w:rPr>
              <w:t>39,4</w:t>
            </w:r>
          </w:p>
        </w:tc>
        <w:tc>
          <w:tcPr>
            <w:tcW w:type="dxa" w:w="890"/>
          </w:tcPr>
          <w:p>
            <w:pPr>
              <w:spacing w:after="20" w:line="240" w:lineRule="auto"/>
            </w:pPr>
            <w:r>
              <w:rPr>
                <w:sz w:val="17"/>
              </w:rPr>
              <w:t>29,24</w:t>
            </w:r>
          </w:p>
        </w:tc>
      </w:tr>
    </w:tbl>
    <w:p>
      <w:r>
        <w:rPr>
          <w:color w:val="595959"/>
          <w:sz w:val="17"/>
        </w:rPr>
        <w:t>Mismas variables, objetivo, reentrenamiento mensual y presupuesto (1.500 árboles, profundidad 6), sin afinar ningún modelo. Los cuatro de árboles no tienen diferencias significativas consistentes entre sí; el lineal es significativamente peor en 3 de 6 periodos. CatBoost tiene la mejor media.</w:t>
      </w:r>
    </w:p>
    <w:p>
      <w:pPr>
        <w:keepNext/>
        <w:spacing w:after="60"/>
      </w:pPr>
      <w:r>
        <w:rPr>
          <w:b/>
          <w:color w:val="1F4E79"/>
          <w:sz w:val="20"/>
        </w:rPr>
        <w:t>Tabla 22. Walk-forward con información realista: MAE (COP/kWh) y periodos en que cada modelo es significativamente mejor o peor que la persistencia</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3042"/>
            <w:shd w:val="clear" w:color="auto" w:fill="1F4E79"/>
          </w:tcPr>
          <w:p>
            <w:pPr>
              <w:spacing w:after="20" w:line="240" w:lineRule="auto"/>
            </w:pPr>
            <w:r>
              <w:rPr>
                <w:b/>
                <w:color w:val="FFFFFF"/>
                <w:sz w:val="17"/>
              </w:rPr>
              <w:t>Modelo</w:t>
            </w:r>
          </w:p>
        </w:tc>
        <w:tc>
          <w:tcPr>
            <w:tcW w:type="dxa" w:w="887"/>
            <w:shd w:val="clear" w:color="auto" w:fill="1F4E79"/>
          </w:tcPr>
          <w:p>
            <w:pPr>
              <w:spacing w:after="20" w:line="240" w:lineRule="auto"/>
            </w:pPr>
            <w:r>
              <w:rPr>
                <w:b/>
                <w:color w:val="FFFFFF"/>
                <w:sz w:val="17"/>
              </w:rPr>
              <w:t>2020-21</w:t>
            </w:r>
          </w:p>
        </w:tc>
        <w:tc>
          <w:tcPr>
            <w:tcW w:type="dxa" w:w="887"/>
            <w:shd w:val="clear" w:color="auto" w:fill="1F4E79"/>
          </w:tcPr>
          <w:p>
            <w:pPr>
              <w:spacing w:after="20" w:line="240" w:lineRule="auto"/>
            </w:pPr>
            <w:r>
              <w:rPr>
                <w:b/>
                <w:color w:val="FFFFFF"/>
                <w:sz w:val="17"/>
              </w:rPr>
              <w:t>2021-22</w:t>
            </w:r>
          </w:p>
        </w:tc>
        <w:tc>
          <w:tcPr>
            <w:tcW w:type="dxa" w:w="887"/>
            <w:shd w:val="clear" w:color="auto" w:fill="1F4E79"/>
          </w:tcPr>
          <w:p>
            <w:pPr>
              <w:spacing w:after="20" w:line="240" w:lineRule="auto"/>
            </w:pPr>
            <w:r>
              <w:rPr>
                <w:b/>
                <w:color w:val="FFFFFF"/>
                <w:sz w:val="17"/>
              </w:rPr>
              <w:t>2022-23</w:t>
            </w:r>
          </w:p>
        </w:tc>
        <w:tc>
          <w:tcPr>
            <w:tcW w:type="dxa" w:w="887"/>
            <w:shd w:val="clear" w:color="auto" w:fill="1F4E79"/>
          </w:tcPr>
          <w:p>
            <w:pPr>
              <w:spacing w:after="20" w:line="240" w:lineRule="auto"/>
            </w:pPr>
            <w:r>
              <w:rPr>
                <w:b/>
                <w:color w:val="FFFFFF"/>
                <w:sz w:val="17"/>
              </w:rPr>
              <w:t>2023-24</w:t>
            </w:r>
          </w:p>
        </w:tc>
        <w:tc>
          <w:tcPr>
            <w:tcW w:type="dxa" w:w="887"/>
            <w:shd w:val="clear" w:color="auto" w:fill="1F4E79"/>
          </w:tcPr>
          <w:p>
            <w:pPr>
              <w:spacing w:after="20" w:line="240" w:lineRule="auto"/>
            </w:pPr>
            <w:r>
              <w:rPr>
                <w:b/>
                <w:color w:val="FFFFFF"/>
                <w:sz w:val="17"/>
              </w:rPr>
              <w:t>2024-25</w:t>
            </w:r>
          </w:p>
        </w:tc>
        <w:tc>
          <w:tcPr>
            <w:tcW w:type="dxa" w:w="887"/>
            <w:shd w:val="clear" w:color="auto" w:fill="1F4E79"/>
          </w:tcPr>
          <w:p>
            <w:pPr>
              <w:spacing w:after="20" w:line="240" w:lineRule="auto"/>
            </w:pPr>
            <w:r>
              <w:rPr>
                <w:b/>
                <w:color w:val="FFFFFF"/>
                <w:sz w:val="17"/>
              </w:rPr>
              <w:t>2026</w:t>
            </w:r>
          </w:p>
        </w:tc>
        <w:tc>
          <w:tcPr>
            <w:tcW w:type="dxa" w:w="1267"/>
            <w:shd w:val="clear" w:color="auto" w:fill="1F4E79"/>
          </w:tcPr>
          <w:p>
            <w:pPr>
              <w:spacing w:after="20" w:line="240" w:lineRule="auto"/>
            </w:pPr>
            <w:r>
              <w:rPr>
                <w:b/>
                <w:color w:val="FFFFFF"/>
                <w:sz w:val="17"/>
              </w:rPr>
              <w:t>Mejor / peor</w:t>
            </w:r>
          </w:p>
        </w:tc>
      </w:tr>
      <w:tr>
        <w:tc>
          <w:tcPr>
            <w:tcW w:type="dxa" w:w="3042"/>
          </w:tcPr>
          <w:p>
            <w:pPr>
              <w:spacing w:after="20" w:line="240" w:lineRule="auto"/>
            </w:pPr>
            <w:r>
              <w:rPr>
                <w:sz w:val="17"/>
              </w:rPr>
              <w:t>Persistencia</w:t>
            </w:r>
          </w:p>
        </w:tc>
        <w:tc>
          <w:tcPr>
            <w:tcW w:type="dxa" w:w="887"/>
          </w:tcPr>
          <w:p>
            <w:pPr>
              <w:spacing w:after="20" w:line="240" w:lineRule="auto"/>
            </w:pPr>
            <w:r>
              <w:rPr>
                <w:sz w:val="17"/>
              </w:rPr>
              <w:t>26,6</w:t>
            </w:r>
          </w:p>
        </w:tc>
        <w:tc>
          <w:tcPr>
            <w:tcW w:type="dxa" w:w="887"/>
          </w:tcPr>
          <w:p>
            <w:pPr>
              <w:spacing w:after="20" w:line="240" w:lineRule="auto"/>
            </w:pPr>
            <w:r>
              <w:rPr>
                <w:sz w:val="17"/>
              </w:rPr>
              <w:t>37,0</w:t>
            </w:r>
          </w:p>
        </w:tc>
        <w:tc>
          <w:tcPr>
            <w:tcW w:type="dxa" w:w="887"/>
          </w:tcPr>
          <w:p>
            <w:pPr>
              <w:spacing w:after="20" w:line="240" w:lineRule="auto"/>
            </w:pPr>
            <w:r>
              <w:rPr>
                <w:sz w:val="17"/>
              </w:rPr>
              <w:t>87,5</w:t>
            </w:r>
          </w:p>
        </w:tc>
        <w:tc>
          <w:tcPr>
            <w:tcW w:type="dxa" w:w="887"/>
          </w:tcPr>
          <w:p>
            <w:pPr>
              <w:spacing w:after="20" w:line="240" w:lineRule="auto"/>
            </w:pPr>
            <w:r>
              <w:rPr>
                <w:sz w:val="17"/>
              </w:rPr>
              <w:t>137,6</w:t>
            </w:r>
          </w:p>
        </w:tc>
        <w:tc>
          <w:tcPr>
            <w:tcW w:type="dxa" w:w="887"/>
          </w:tcPr>
          <w:p>
            <w:pPr>
              <w:spacing w:after="20" w:line="240" w:lineRule="auto"/>
            </w:pPr>
            <w:r>
              <w:rPr>
                <w:sz w:val="17"/>
              </w:rPr>
              <w:t>161,4</w:t>
            </w:r>
          </w:p>
        </w:tc>
        <w:tc>
          <w:tcPr>
            <w:tcW w:type="dxa" w:w="887"/>
          </w:tcPr>
          <w:p>
            <w:pPr>
              <w:spacing w:after="20" w:line="240" w:lineRule="auto"/>
            </w:pPr>
            <w:r>
              <w:rPr>
                <w:sz w:val="17"/>
              </w:rPr>
              <w:t>108,8</w:t>
            </w:r>
          </w:p>
        </w:tc>
        <w:tc>
          <w:tcPr>
            <w:tcW w:type="dxa" w:w="1267"/>
          </w:tcPr>
          <w:p>
            <w:pPr>
              <w:spacing w:after="20" w:line="240" w:lineRule="auto"/>
            </w:pPr>
            <w:r>
              <w:rPr>
                <w:sz w:val="17"/>
              </w:rPr>
              <w:t>—</w:t>
            </w:r>
          </w:p>
        </w:tc>
      </w:tr>
      <w:tr>
        <w:tc>
          <w:tcPr>
            <w:tcW w:type="dxa" w:w="3042"/>
            <w:shd w:val="clear" w:color="auto" w:fill="F3F6FA"/>
          </w:tcPr>
          <w:p>
            <w:pPr>
              <w:spacing w:after="20" w:line="240" w:lineRule="auto"/>
            </w:pPr>
            <w:r>
              <w:rPr>
                <w:sz w:val="17"/>
              </w:rPr>
              <w:t>XGBoost</w:t>
            </w:r>
          </w:p>
        </w:tc>
        <w:tc>
          <w:tcPr>
            <w:tcW w:type="dxa" w:w="887"/>
            <w:shd w:val="clear" w:color="auto" w:fill="F3F6FA"/>
          </w:tcPr>
          <w:p>
            <w:pPr>
              <w:spacing w:after="20" w:line="240" w:lineRule="auto"/>
            </w:pPr>
            <w:r>
              <w:rPr>
                <w:sz w:val="17"/>
              </w:rPr>
              <w:t>28,1</w:t>
            </w:r>
          </w:p>
        </w:tc>
        <w:tc>
          <w:tcPr>
            <w:tcW w:type="dxa" w:w="887"/>
            <w:shd w:val="clear" w:color="auto" w:fill="F3F6FA"/>
          </w:tcPr>
          <w:p>
            <w:pPr>
              <w:spacing w:after="20" w:line="240" w:lineRule="auto"/>
            </w:pPr>
            <w:r>
              <w:rPr>
                <w:sz w:val="17"/>
              </w:rPr>
              <w:t>40,2</w:t>
            </w:r>
          </w:p>
        </w:tc>
        <w:tc>
          <w:tcPr>
            <w:tcW w:type="dxa" w:w="887"/>
            <w:shd w:val="clear" w:color="auto" w:fill="F3F6FA"/>
          </w:tcPr>
          <w:p>
            <w:pPr>
              <w:spacing w:after="20" w:line="240" w:lineRule="auto"/>
            </w:pPr>
            <w:r>
              <w:rPr>
                <w:sz w:val="17"/>
              </w:rPr>
              <w:t>99,1</w:t>
            </w:r>
          </w:p>
        </w:tc>
        <w:tc>
          <w:tcPr>
            <w:tcW w:type="dxa" w:w="887"/>
            <w:shd w:val="clear" w:color="auto" w:fill="F3F6FA"/>
          </w:tcPr>
          <w:p>
            <w:pPr>
              <w:spacing w:after="20" w:line="240" w:lineRule="auto"/>
            </w:pPr>
            <w:r>
              <w:rPr>
                <w:sz w:val="17"/>
              </w:rPr>
              <w:t>208,2</w:t>
            </w:r>
          </w:p>
        </w:tc>
        <w:tc>
          <w:tcPr>
            <w:tcW w:type="dxa" w:w="887"/>
            <w:shd w:val="clear" w:color="auto" w:fill="F3F6FA"/>
          </w:tcPr>
          <w:p>
            <w:pPr>
              <w:spacing w:after="20" w:line="240" w:lineRule="auto"/>
            </w:pPr>
            <w:r>
              <w:rPr>
                <w:sz w:val="17"/>
              </w:rPr>
              <w:t>183,0</w:t>
            </w:r>
          </w:p>
        </w:tc>
        <w:tc>
          <w:tcPr>
            <w:tcW w:type="dxa" w:w="887"/>
            <w:shd w:val="clear" w:color="auto" w:fill="F3F6FA"/>
          </w:tcPr>
          <w:p>
            <w:pPr>
              <w:spacing w:after="20" w:line="240" w:lineRule="auto"/>
            </w:pPr>
            <w:r>
              <w:rPr>
                <w:sz w:val="17"/>
              </w:rPr>
              <w:t>102,7</w:t>
            </w:r>
          </w:p>
        </w:tc>
        <w:tc>
          <w:tcPr>
            <w:tcW w:type="dxa" w:w="1267"/>
            <w:shd w:val="clear" w:color="auto" w:fill="F3F6FA"/>
          </w:tcPr>
          <w:p>
            <w:pPr>
              <w:spacing w:after="20" w:line="240" w:lineRule="auto"/>
            </w:pPr>
            <w:r>
              <w:rPr>
                <w:sz w:val="17"/>
              </w:rPr>
              <w:t>0 / 3</w:t>
            </w:r>
          </w:p>
        </w:tc>
      </w:tr>
      <w:tr>
        <w:tc>
          <w:tcPr>
            <w:tcW w:type="dxa" w:w="3042"/>
          </w:tcPr>
          <w:p>
            <w:pPr>
              <w:spacing w:after="20" w:line="240" w:lineRule="auto"/>
            </w:pPr>
            <w:r>
              <w:rPr>
                <w:sz w:val="17"/>
              </w:rPr>
              <w:t>ARX+GARCH</w:t>
            </w:r>
          </w:p>
        </w:tc>
        <w:tc>
          <w:tcPr>
            <w:tcW w:type="dxa" w:w="887"/>
          </w:tcPr>
          <w:p>
            <w:pPr>
              <w:spacing w:after="20" w:line="240" w:lineRule="auto"/>
            </w:pPr>
            <w:r>
              <w:rPr>
                <w:sz w:val="17"/>
              </w:rPr>
              <w:t>221,5</w:t>
            </w:r>
          </w:p>
        </w:tc>
        <w:tc>
          <w:tcPr>
            <w:tcW w:type="dxa" w:w="887"/>
          </w:tcPr>
          <w:p>
            <w:pPr>
              <w:spacing w:after="20" w:line="240" w:lineRule="auto"/>
            </w:pPr>
            <w:r>
              <w:rPr>
                <w:sz w:val="17"/>
              </w:rPr>
              <w:t>37,0</w:t>
            </w:r>
          </w:p>
        </w:tc>
        <w:tc>
          <w:tcPr>
            <w:tcW w:type="dxa" w:w="887"/>
          </w:tcPr>
          <w:p>
            <w:pPr>
              <w:spacing w:after="20" w:line="240" w:lineRule="auto"/>
            </w:pPr>
            <w:r>
              <w:rPr>
                <w:sz w:val="17"/>
              </w:rPr>
              <w:t>104,6</w:t>
            </w:r>
          </w:p>
        </w:tc>
        <w:tc>
          <w:tcPr>
            <w:tcW w:type="dxa" w:w="887"/>
          </w:tcPr>
          <w:p>
            <w:pPr>
              <w:spacing w:after="20" w:line="240" w:lineRule="auto"/>
            </w:pPr>
            <w:r>
              <w:rPr>
                <w:sz w:val="17"/>
              </w:rPr>
              <w:t>147,9</w:t>
            </w:r>
          </w:p>
        </w:tc>
        <w:tc>
          <w:tcPr>
            <w:tcW w:type="dxa" w:w="887"/>
          </w:tcPr>
          <w:p>
            <w:pPr>
              <w:spacing w:after="20" w:line="240" w:lineRule="auto"/>
            </w:pPr>
            <w:r>
              <w:rPr>
                <w:sz w:val="17"/>
              </w:rPr>
              <w:t>157,8</w:t>
            </w:r>
          </w:p>
        </w:tc>
        <w:tc>
          <w:tcPr>
            <w:tcW w:type="dxa" w:w="887"/>
          </w:tcPr>
          <w:p>
            <w:pPr>
              <w:spacing w:after="20" w:line="240" w:lineRule="auto"/>
            </w:pPr>
            <w:r>
              <w:rPr>
                <w:sz w:val="17"/>
              </w:rPr>
              <w:t>105,0</w:t>
            </w:r>
          </w:p>
        </w:tc>
        <w:tc>
          <w:tcPr>
            <w:tcW w:type="dxa" w:w="1267"/>
          </w:tcPr>
          <w:p>
            <w:pPr>
              <w:spacing w:after="20" w:line="240" w:lineRule="auto"/>
            </w:pPr>
            <w:r>
              <w:rPr>
                <w:sz w:val="17"/>
              </w:rPr>
              <w:t>0 / 3</w:t>
            </w:r>
          </w:p>
        </w:tc>
      </w:tr>
      <w:tr>
        <w:tc>
          <w:tcPr>
            <w:tcW w:type="dxa" w:w="3042"/>
            <w:shd w:val="clear" w:color="auto" w:fill="F3F6FA"/>
          </w:tcPr>
          <w:p>
            <w:pPr>
              <w:spacing w:after="20" w:line="240" w:lineRule="auto"/>
            </w:pPr>
            <w:r>
              <w:rPr>
                <w:sz w:val="17"/>
              </w:rPr>
              <w:t>GARCH-ged</w:t>
            </w:r>
          </w:p>
        </w:tc>
        <w:tc>
          <w:tcPr>
            <w:tcW w:type="dxa" w:w="887"/>
            <w:shd w:val="clear" w:color="auto" w:fill="F3F6FA"/>
          </w:tcPr>
          <w:p>
            <w:pPr>
              <w:spacing w:after="20" w:line="240" w:lineRule="auto"/>
            </w:pPr>
            <w:r>
              <w:rPr>
                <w:sz w:val="17"/>
              </w:rPr>
              <w:t>30,4</w:t>
            </w:r>
          </w:p>
        </w:tc>
        <w:tc>
          <w:tcPr>
            <w:tcW w:type="dxa" w:w="887"/>
            <w:shd w:val="clear" w:color="auto" w:fill="F3F6FA"/>
          </w:tcPr>
          <w:p>
            <w:pPr>
              <w:spacing w:after="20" w:line="240" w:lineRule="auto"/>
            </w:pPr>
            <w:r>
              <w:rPr>
                <w:sz w:val="17"/>
              </w:rPr>
              <w:t>35,9</w:t>
            </w:r>
          </w:p>
        </w:tc>
        <w:tc>
          <w:tcPr>
            <w:tcW w:type="dxa" w:w="887"/>
            <w:shd w:val="clear" w:color="auto" w:fill="F3F6FA"/>
          </w:tcPr>
          <w:p>
            <w:pPr>
              <w:spacing w:after="20" w:line="240" w:lineRule="auto"/>
            </w:pPr>
            <w:r>
              <w:rPr>
                <w:sz w:val="17"/>
              </w:rPr>
              <w:t>81,3</w:t>
            </w:r>
          </w:p>
        </w:tc>
        <w:tc>
          <w:tcPr>
            <w:tcW w:type="dxa" w:w="887"/>
            <w:shd w:val="clear" w:color="auto" w:fill="F3F6FA"/>
          </w:tcPr>
          <w:p>
            <w:pPr>
              <w:spacing w:after="20" w:line="240" w:lineRule="auto"/>
            </w:pPr>
            <w:r>
              <w:rPr>
                <w:sz w:val="17"/>
              </w:rPr>
              <w:t>139,3</w:t>
            </w:r>
          </w:p>
        </w:tc>
        <w:tc>
          <w:tcPr>
            <w:tcW w:type="dxa" w:w="887"/>
            <w:shd w:val="clear" w:color="auto" w:fill="F3F6FA"/>
          </w:tcPr>
          <w:p>
            <w:pPr>
              <w:spacing w:after="20" w:line="240" w:lineRule="auto"/>
            </w:pPr>
            <w:r>
              <w:rPr>
                <w:sz w:val="17"/>
              </w:rPr>
              <w:t>148,6</w:t>
            </w:r>
          </w:p>
        </w:tc>
        <w:tc>
          <w:tcPr>
            <w:tcW w:type="dxa" w:w="887"/>
            <w:shd w:val="clear" w:color="auto" w:fill="F3F6FA"/>
          </w:tcPr>
          <w:p>
            <w:pPr>
              <w:spacing w:after="20" w:line="240" w:lineRule="auto"/>
            </w:pPr>
            <w:r>
              <w:rPr>
                <w:sz w:val="17"/>
              </w:rPr>
              <w:t>100,6</w:t>
            </w:r>
          </w:p>
        </w:tc>
        <w:tc>
          <w:tcPr>
            <w:tcW w:type="dxa" w:w="1267"/>
            <w:shd w:val="clear" w:color="auto" w:fill="F3F6FA"/>
          </w:tcPr>
          <w:p>
            <w:pPr>
              <w:spacing w:after="20" w:line="240" w:lineRule="auto"/>
            </w:pPr>
            <w:r>
              <w:rPr>
                <w:sz w:val="17"/>
              </w:rPr>
              <w:t>3 / 1</w:t>
            </w:r>
          </w:p>
        </w:tc>
      </w:tr>
      <w:tr>
        <w:tc>
          <w:tcPr>
            <w:tcW w:type="dxa" w:w="3042"/>
          </w:tcPr>
          <w:p>
            <w:pPr>
              <w:spacing w:after="20" w:line="240" w:lineRule="auto"/>
            </w:pPr>
            <w:r>
              <w:rPr>
                <w:sz w:val="17"/>
              </w:rPr>
              <w:t>N-BEATSx</w:t>
            </w:r>
          </w:p>
        </w:tc>
        <w:tc>
          <w:tcPr>
            <w:tcW w:type="dxa" w:w="887"/>
          </w:tcPr>
          <w:p>
            <w:pPr>
              <w:spacing w:after="20" w:line="240" w:lineRule="auto"/>
            </w:pPr>
            <w:r>
              <w:rPr>
                <w:sz w:val="17"/>
              </w:rPr>
              <w:t>95,2</w:t>
            </w:r>
          </w:p>
        </w:tc>
        <w:tc>
          <w:tcPr>
            <w:tcW w:type="dxa" w:w="887"/>
          </w:tcPr>
          <w:p>
            <w:pPr>
              <w:spacing w:after="20" w:line="240" w:lineRule="auto"/>
            </w:pPr>
            <w:r>
              <w:rPr>
                <w:sz w:val="17"/>
              </w:rPr>
              <w:t>40,6</w:t>
            </w:r>
          </w:p>
        </w:tc>
        <w:tc>
          <w:tcPr>
            <w:tcW w:type="dxa" w:w="887"/>
          </w:tcPr>
          <w:p>
            <w:pPr>
              <w:spacing w:after="20" w:line="240" w:lineRule="auto"/>
            </w:pPr>
            <w:r>
              <w:rPr>
                <w:sz w:val="17"/>
              </w:rPr>
              <w:t>88,9</w:t>
            </w:r>
          </w:p>
        </w:tc>
        <w:tc>
          <w:tcPr>
            <w:tcW w:type="dxa" w:w="887"/>
          </w:tcPr>
          <w:p>
            <w:pPr>
              <w:spacing w:after="20" w:line="240" w:lineRule="auto"/>
            </w:pPr>
            <w:r>
              <w:rPr>
                <w:sz w:val="17"/>
              </w:rPr>
              <w:t>148,1</w:t>
            </w:r>
          </w:p>
        </w:tc>
        <w:tc>
          <w:tcPr>
            <w:tcW w:type="dxa" w:w="887"/>
          </w:tcPr>
          <w:p>
            <w:pPr>
              <w:spacing w:after="20" w:line="240" w:lineRule="auto"/>
            </w:pPr>
            <w:r>
              <w:rPr>
                <w:sz w:val="17"/>
              </w:rPr>
              <w:t>184,2</w:t>
            </w:r>
          </w:p>
        </w:tc>
        <w:tc>
          <w:tcPr>
            <w:tcW w:type="dxa" w:w="887"/>
          </w:tcPr>
          <w:p>
            <w:pPr>
              <w:spacing w:after="20" w:line="240" w:lineRule="auto"/>
            </w:pPr>
            <w:r>
              <w:rPr>
                <w:sz w:val="17"/>
              </w:rPr>
              <w:t>101,7</w:t>
            </w:r>
          </w:p>
        </w:tc>
        <w:tc>
          <w:tcPr>
            <w:tcW w:type="dxa" w:w="1267"/>
          </w:tcPr>
          <w:p>
            <w:pPr>
              <w:spacing w:after="20" w:line="240" w:lineRule="auto"/>
            </w:pPr>
            <w:r>
              <w:rPr>
                <w:sz w:val="17"/>
              </w:rPr>
              <w:t>0 / 4</w:t>
            </w:r>
          </w:p>
        </w:tc>
      </w:tr>
      <w:tr>
        <w:tc>
          <w:tcPr>
            <w:tcW w:type="dxa" w:w="3042"/>
            <w:shd w:val="clear" w:color="auto" w:fill="F3F6FA"/>
          </w:tcPr>
          <w:p>
            <w:pPr>
              <w:spacing w:after="20" w:line="240" w:lineRule="auto"/>
            </w:pPr>
            <w:r>
              <w:rPr>
                <w:sz w:val="17"/>
              </w:rPr>
              <w:t>N-HiTS</w:t>
            </w:r>
          </w:p>
        </w:tc>
        <w:tc>
          <w:tcPr>
            <w:tcW w:type="dxa" w:w="887"/>
            <w:shd w:val="clear" w:color="auto" w:fill="F3F6FA"/>
          </w:tcPr>
          <w:p>
            <w:pPr>
              <w:spacing w:after="20" w:line="240" w:lineRule="auto"/>
            </w:pPr>
            <w:r>
              <w:rPr>
                <w:sz w:val="17"/>
              </w:rPr>
              <w:t>125,3</w:t>
            </w:r>
          </w:p>
        </w:tc>
        <w:tc>
          <w:tcPr>
            <w:tcW w:type="dxa" w:w="887"/>
            <w:shd w:val="clear" w:color="auto" w:fill="F3F6FA"/>
          </w:tcPr>
          <w:p>
            <w:pPr>
              <w:spacing w:after="20" w:line="240" w:lineRule="auto"/>
            </w:pPr>
            <w:r>
              <w:rPr>
                <w:sz w:val="17"/>
              </w:rPr>
              <w:t>38,0</w:t>
            </w:r>
          </w:p>
        </w:tc>
        <w:tc>
          <w:tcPr>
            <w:tcW w:type="dxa" w:w="887"/>
            <w:shd w:val="clear" w:color="auto" w:fill="F3F6FA"/>
          </w:tcPr>
          <w:p>
            <w:pPr>
              <w:spacing w:after="20" w:line="240" w:lineRule="auto"/>
            </w:pPr>
            <w:r>
              <w:rPr>
                <w:sz w:val="17"/>
              </w:rPr>
              <w:t>85,2</w:t>
            </w:r>
          </w:p>
        </w:tc>
        <w:tc>
          <w:tcPr>
            <w:tcW w:type="dxa" w:w="887"/>
            <w:shd w:val="clear" w:color="auto" w:fill="F3F6FA"/>
          </w:tcPr>
          <w:p>
            <w:pPr>
              <w:spacing w:after="20" w:line="240" w:lineRule="auto"/>
            </w:pPr>
            <w:r>
              <w:rPr>
                <w:sz w:val="17"/>
              </w:rPr>
              <w:t>151,5</w:t>
            </w:r>
          </w:p>
        </w:tc>
        <w:tc>
          <w:tcPr>
            <w:tcW w:type="dxa" w:w="887"/>
            <w:shd w:val="clear" w:color="auto" w:fill="F3F6FA"/>
          </w:tcPr>
          <w:p>
            <w:pPr>
              <w:spacing w:after="20" w:line="240" w:lineRule="auto"/>
            </w:pPr>
            <w:r>
              <w:rPr>
                <w:sz w:val="17"/>
              </w:rPr>
              <w:t>169,0</w:t>
            </w:r>
          </w:p>
        </w:tc>
        <w:tc>
          <w:tcPr>
            <w:tcW w:type="dxa" w:w="887"/>
            <w:shd w:val="clear" w:color="auto" w:fill="F3F6FA"/>
          </w:tcPr>
          <w:p>
            <w:pPr>
              <w:spacing w:after="20" w:line="240" w:lineRule="auto"/>
            </w:pPr>
            <w:r>
              <w:rPr>
                <w:sz w:val="17"/>
              </w:rPr>
              <w:t>115,7</w:t>
            </w:r>
          </w:p>
        </w:tc>
        <w:tc>
          <w:tcPr>
            <w:tcW w:type="dxa" w:w="1267"/>
            <w:shd w:val="clear" w:color="auto" w:fill="F3F6FA"/>
          </w:tcPr>
          <w:p>
            <w:pPr>
              <w:spacing w:after="20" w:line="240" w:lineRule="auto"/>
            </w:pPr>
            <w:r>
              <w:rPr>
                <w:sz w:val="17"/>
              </w:rPr>
              <w:t>0 / 2</w:t>
            </w:r>
          </w:p>
        </w:tc>
      </w:tr>
      <w:tr>
        <w:tc>
          <w:tcPr>
            <w:tcW w:type="dxa" w:w="3042"/>
          </w:tcPr>
          <w:p>
            <w:pPr>
              <w:spacing w:after="20" w:line="240" w:lineRule="auto"/>
            </w:pPr>
            <w:r>
              <w:rPr>
                <w:sz w:val="17"/>
              </w:rPr>
              <w:t>Predespacho de XM solo</w:t>
            </w:r>
          </w:p>
        </w:tc>
        <w:tc>
          <w:tcPr>
            <w:tcW w:type="dxa" w:w="887"/>
          </w:tcPr>
          <w:p>
            <w:pPr>
              <w:spacing w:after="20" w:line="240" w:lineRule="auto"/>
            </w:pPr>
            <w:r>
              <w:rPr>
                <w:sz w:val="17"/>
              </w:rPr>
              <w:t>13,6</w:t>
            </w:r>
          </w:p>
        </w:tc>
        <w:tc>
          <w:tcPr>
            <w:tcW w:type="dxa" w:w="887"/>
          </w:tcPr>
          <w:p>
            <w:pPr>
              <w:spacing w:after="20" w:line="240" w:lineRule="auto"/>
            </w:pPr>
            <w:r>
              <w:rPr>
                <w:sz w:val="17"/>
              </w:rPr>
              <w:t>12,5</w:t>
            </w:r>
          </w:p>
        </w:tc>
        <w:tc>
          <w:tcPr>
            <w:tcW w:type="dxa" w:w="887"/>
          </w:tcPr>
          <w:p>
            <w:pPr>
              <w:spacing w:after="20" w:line="240" w:lineRule="auto"/>
            </w:pPr>
            <w:r>
              <w:rPr>
                <w:sz w:val="17"/>
              </w:rPr>
              <w:t>23,5</w:t>
            </w:r>
          </w:p>
        </w:tc>
        <w:tc>
          <w:tcPr>
            <w:tcW w:type="dxa" w:w="887"/>
          </w:tcPr>
          <w:p>
            <w:pPr>
              <w:spacing w:after="20" w:line="240" w:lineRule="auto"/>
            </w:pPr>
            <w:r>
              <w:rPr>
                <w:sz w:val="17"/>
              </w:rPr>
              <w:t>37,0</w:t>
            </w:r>
          </w:p>
        </w:tc>
        <w:tc>
          <w:tcPr>
            <w:tcW w:type="dxa" w:w="887"/>
          </w:tcPr>
          <w:p>
            <w:pPr>
              <w:spacing w:after="20" w:line="240" w:lineRule="auto"/>
            </w:pPr>
            <w:r>
              <w:rPr>
                <w:sz w:val="17"/>
              </w:rPr>
              <w:t>59,5</w:t>
            </w:r>
          </w:p>
        </w:tc>
        <w:tc>
          <w:tcPr>
            <w:tcW w:type="dxa" w:w="887"/>
          </w:tcPr>
          <w:p>
            <w:pPr>
              <w:spacing w:after="20" w:line="240" w:lineRule="auto"/>
            </w:pPr>
            <w:r>
              <w:rPr>
                <w:sz w:val="17"/>
              </w:rPr>
              <w:t>39,2</w:t>
            </w:r>
          </w:p>
        </w:tc>
        <w:tc>
          <w:tcPr>
            <w:tcW w:type="dxa" w:w="1267"/>
          </w:tcPr>
          <w:p>
            <w:pPr>
              <w:spacing w:after="20" w:line="240" w:lineRule="auto"/>
            </w:pPr>
            <w:r>
              <w:rPr>
                <w:sz w:val="17"/>
              </w:rPr>
              <w:t>6 / 0</w:t>
            </w:r>
          </w:p>
        </w:tc>
      </w:tr>
      <w:tr>
        <w:tc>
          <w:tcPr>
            <w:tcW w:type="dxa" w:w="3042"/>
            <w:shd w:val="clear" w:color="auto" w:fill="F3F6FA"/>
          </w:tcPr>
          <w:p>
            <w:pPr>
              <w:spacing w:after="20" w:line="240" w:lineRule="auto"/>
            </w:pPr>
            <w:r>
              <w:rPr>
                <w:sz w:val="17"/>
              </w:rPr>
              <w:t>Predespacho + CatBoost (Augur)</w:t>
            </w:r>
          </w:p>
        </w:tc>
        <w:tc>
          <w:tcPr>
            <w:tcW w:type="dxa" w:w="887"/>
            <w:shd w:val="clear" w:color="auto" w:fill="F3F6FA"/>
          </w:tcPr>
          <w:p>
            <w:pPr>
              <w:spacing w:after="20" w:line="240" w:lineRule="auto"/>
            </w:pPr>
            <w:r>
              <w:rPr>
                <w:sz w:val="17"/>
              </w:rPr>
              <w:t>9,3</w:t>
            </w:r>
          </w:p>
        </w:tc>
        <w:tc>
          <w:tcPr>
            <w:tcW w:type="dxa" w:w="887"/>
            <w:shd w:val="clear" w:color="auto" w:fill="F3F6FA"/>
          </w:tcPr>
          <w:p>
            <w:pPr>
              <w:spacing w:after="20" w:line="240" w:lineRule="auto"/>
            </w:pPr>
            <w:r>
              <w:rPr>
                <w:sz w:val="17"/>
              </w:rPr>
              <w:t>12,0</w:t>
            </w:r>
          </w:p>
        </w:tc>
        <w:tc>
          <w:tcPr>
            <w:tcW w:type="dxa" w:w="887"/>
            <w:shd w:val="clear" w:color="auto" w:fill="F3F6FA"/>
          </w:tcPr>
          <w:p>
            <w:pPr>
              <w:spacing w:after="20" w:line="240" w:lineRule="auto"/>
            </w:pPr>
            <w:r>
              <w:rPr>
                <w:sz w:val="17"/>
              </w:rPr>
              <w:t>21,2</w:t>
            </w:r>
          </w:p>
        </w:tc>
        <w:tc>
          <w:tcPr>
            <w:tcW w:type="dxa" w:w="887"/>
            <w:shd w:val="clear" w:color="auto" w:fill="F3F6FA"/>
          </w:tcPr>
          <w:p>
            <w:pPr>
              <w:spacing w:after="20" w:line="240" w:lineRule="auto"/>
            </w:pPr>
            <w:r>
              <w:rPr>
                <w:sz w:val="17"/>
              </w:rPr>
              <w:t>36,3</w:t>
            </w:r>
          </w:p>
        </w:tc>
        <w:tc>
          <w:tcPr>
            <w:tcW w:type="dxa" w:w="887"/>
            <w:shd w:val="clear" w:color="auto" w:fill="F3F6FA"/>
          </w:tcPr>
          <w:p>
            <w:pPr>
              <w:spacing w:after="20" w:line="240" w:lineRule="auto"/>
            </w:pPr>
            <w:r>
              <w:rPr>
                <w:sz w:val="17"/>
              </w:rPr>
              <w:t>56,7</w:t>
            </w:r>
          </w:p>
        </w:tc>
        <w:tc>
          <w:tcPr>
            <w:tcW w:type="dxa" w:w="887"/>
            <w:shd w:val="clear" w:color="auto" w:fill="F3F6FA"/>
          </w:tcPr>
          <w:p>
            <w:pPr>
              <w:spacing w:after="20" w:line="240" w:lineRule="auto"/>
            </w:pPr>
            <w:r>
              <w:rPr>
                <w:sz w:val="17"/>
              </w:rPr>
              <w:t>35,2</w:t>
            </w:r>
          </w:p>
        </w:tc>
        <w:tc>
          <w:tcPr>
            <w:tcW w:type="dxa" w:w="1267"/>
            <w:shd w:val="clear" w:color="auto" w:fill="F3F6FA"/>
          </w:tcPr>
          <w:p>
            <w:pPr>
              <w:spacing w:after="20" w:line="240" w:lineRule="auto"/>
            </w:pPr>
            <w:r>
              <w:rPr>
                <w:sz w:val="17"/>
              </w:rPr>
              <w:t>6 / 0</w:t>
            </w:r>
          </w:p>
        </w:tc>
      </w:tr>
    </w:tbl>
    <w:p>
      <w:r>
        <w:rPr>
          <w:color w:val="595959"/>
          <w:sz w:val="17"/>
        </w:rPr>
        <w:t>2026 = 15 de enero a 5 de agosto. Sin el precio de ayer, ningún modelo que pronostica el precio desde cero supera de forma consistente a la persistencia; el predespacho solo los supera a todos, y corregirlo lo mejora en 5 de 6 periodos. En 2020-21, ARX+GARCH y las redes se entrenan con solo 17 meses y quedan fijos todo el año, por eso su error es tan alto.</w:t>
      </w:r>
    </w:p>
    <w:p>
      <w:pPr>
        <w:keepNext/>
        <w:spacing w:after="60"/>
      </w:pPr>
      <w:r>
        <w:rPr>
          <w:b/>
          <w:color w:val="1F4E79"/>
          <w:sz w:val="20"/>
        </w:rPr>
        <w:t>Tabla 23. Detector de eventos por día del horizonte: mejora sobre la climatología (BSS)</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2657"/>
            <w:shd w:val="clear" w:color="auto" w:fill="1F4E79"/>
          </w:tcPr>
          <w:p>
            <w:pPr>
              <w:spacing w:after="20" w:line="240" w:lineRule="auto"/>
            </w:pPr>
            <w:r>
              <w:rPr>
                <w:b/>
                <w:color w:val="FFFFFF"/>
                <w:sz w:val="17"/>
              </w:rPr>
              <w:t>Evento y día</w:t>
            </w:r>
          </w:p>
        </w:tc>
        <w:tc>
          <w:tcPr>
            <w:tcW w:type="dxa" w:w="1162"/>
            <w:shd w:val="clear" w:color="auto" w:fill="1F4E79"/>
          </w:tcPr>
          <w:p>
            <w:pPr>
              <w:spacing w:after="20" w:line="240" w:lineRule="auto"/>
            </w:pPr>
            <w:r>
              <w:rPr>
                <w:b/>
                <w:color w:val="FFFFFF"/>
                <w:sz w:val="17"/>
              </w:rPr>
              <w:t>2020-21</w:t>
            </w:r>
          </w:p>
        </w:tc>
        <w:tc>
          <w:tcPr>
            <w:tcW w:type="dxa" w:w="1162"/>
            <w:shd w:val="clear" w:color="auto" w:fill="1F4E79"/>
          </w:tcPr>
          <w:p>
            <w:pPr>
              <w:spacing w:after="20" w:line="240" w:lineRule="auto"/>
            </w:pPr>
            <w:r>
              <w:rPr>
                <w:b/>
                <w:color w:val="FFFFFF"/>
                <w:sz w:val="17"/>
              </w:rPr>
              <w:t>2021-22</w:t>
            </w:r>
          </w:p>
        </w:tc>
        <w:tc>
          <w:tcPr>
            <w:tcW w:type="dxa" w:w="1162"/>
            <w:shd w:val="clear" w:color="auto" w:fill="1F4E79"/>
          </w:tcPr>
          <w:p>
            <w:pPr>
              <w:spacing w:after="20" w:line="240" w:lineRule="auto"/>
            </w:pPr>
            <w:r>
              <w:rPr>
                <w:b/>
                <w:color w:val="FFFFFF"/>
                <w:sz w:val="17"/>
              </w:rPr>
              <w:t>2022-23</w:t>
            </w:r>
          </w:p>
        </w:tc>
        <w:tc>
          <w:tcPr>
            <w:tcW w:type="dxa" w:w="1162"/>
            <w:shd w:val="clear" w:color="auto" w:fill="1F4E79"/>
          </w:tcPr>
          <w:p>
            <w:pPr>
              <w:spacing w:after="20" w:line="240" w:lineRule="auto"/>
            </w:pPr>
            <w:r>
              <w:rPr>
                <w:b/>
                <w:color w:val="FFFFFF"/>
                <w:sz w:val="17"/>
              </w:rPr>
              <w:t>2023-24</w:t>
            </w:r>
          </w:p>
        </w:tc>
        <w:tc>
          <w:tcPr>
            <w:tcW w:type="dxa" w:w="1162"/>
            <w:shd w:val="clear" w:color="auto" w:fill="1F4E79"/>
          </w:tcPr>
          <w:p>
            <w:pPr>
              <w:spacing w:after="20" w:line="240" w:lineRule="auto"/>
            </w:pPr>
            <w:r>
              <w:rPr>
                <w:b/>
                <w:color w:val="FFFFFF"/>
                <w:sz w:val="17"/>
              </w:rPr>
              <w:t>2024-25</w:t>
            </w:r>
          </w:p>
        </w:tc>
        <w:tc>
          <w:tcPr>
            <w:tcW w:type="dxa" w:w="1162"/>
            <w:shd w:val="clear" w:color="auto" w:fill="1F4E79"/>
          </w:tcPr>
          <w:p>
            <w:pPr>
              <w:spacing w:after="20" w:line="240" w:lineRule="auto"/>
            </w:pPr>
            <w:r>
              <w:rPr>
                <w:b/>
                <w:color w:val="FFFFFF"/>
                <w:sz w:val="17"/>
              </w:rPr>
              <w:t>2026</w:t>
            </w:r>
          </w:p>
        </w:tc>
      </w:tr>
      <w:tr>
        <w:tc>
          <w:tcPr>
            <w:tcW w:type="dxa" w:w="2657"/>
          </w:tcPr>
          <w:p>
            <w:pPr>
              <w:spacing w:after="20" w:line="240" w:lineRule="auto"/>
            </w:pPr>
            <w:r>
              <w:rPr>
                <w:sz w:val="17"/>
              </w:rPr>
              <w:t>Pico · Día 1</w:t>
            </w:r>
          </w:p>
        </w:tc>
        <w:tc>
          <w:tcPr>
            <w:tcW w:type="dxa" w:w="1162"/>
          </w:tcPr>
          <w:p>
            <w:pPr>
              <w:spacing w:after="20" w:line="240" w:lineRule="auto"/>
            </w:pPr>
            <w:r>
              <w:rPr>
                <w:sz w:val="17"/>
              </w:rPr>
              <w:t>0,23*</w:t>
            </w:r>
          </w:p>
        </w:tc>
        <w:tc>
          <w:tcPr>
            <w:tcW w:type="dxa" w:w="1162"/>
          </w:tcPr>
          <w:p>
            <w:pPr>
              <w:spacing w:after="20" w:line="240" w:lineRule="auto"/>
            </w:pPr>
            <w:r>
              <w:rPr>
                <w:sz w:val="17"/>
              </w:rPr>
              <w:t>0,16*</w:t>
            </w:r>
          </w:p>
        </w:tc>
        <w:tc>
          <w:tcPr>
            <w:tcW w:type="dxa" w:w="1162"/>
          </w:tcPr>
          <w:p>
            <w:pPr>
              <w:spacing w:after="20" w:line="240" w:lineRule="auto"/>
            </w:pPr>
            <w:r>
              <w:rPr>
                <w:sz w:val="17"/>
              </w:rPr>
              <w:t>0,29*</w:t>
            </w:r>
          </w:p>
        </w:tc>
        <w:tc>
          <w:tcPr>
            <w:tcW w:type="dxa" w:w="1162"/>
          </w:tcPr>
          <w:p>
            <w:pPr>
              <w:spacing w:after="20" w:line="240" w:lineRule="auto"/>
            </w:pPr>
            <w:r>
              <w:rPr>
                <w:sz w:val="17"/>
              </w:rPr>
              <w:t>0,37*</w:t>
            </w:r>
          </w:p>
        </w:tc>
        <w:tc>
          <w:tcPr>
            <w:tcW w:type="dxa" w:w="1162"/>
          </w:tcPr>
          <w:p>
            <w:pPr>
              <w:spacing w:after="20" w:line="240" w:lineRule="auto"/>
            </w:pPr>
            <w:r>
              <w:rPr>
                <w:sz w:val="17"/>
              </w:rPr>
              <w:t>0,41*</w:t>
            </w:r>
          </w:p>
        </w:tc>
        <w:tc>
          <w:tcPr>
            <w:tcW w:type="dxa" w:w="1162"/>
          </w:tcPr>
          <w:p>
            <w:pPr>
              <w:spacing w:after="20" w:line="240" w:lineRule="auto"/>
            </w:pPr>
            <w:r>
              <w:rPr>
                <w:sz w:val="17"/>
              </w:rPr>
              <w:t>0,55*</w:t>
            </w:r>
          </w:p>
        </w:tc>
      </w:tr>
      <w:tr>
        <w:tc>
          <w:tcPr>
            <w:tcW w:type="dxa" w:w="2657"/>
            <w:shd w:val="clear" w:color="auto" w:fill="F3F6FA"/>
          </w:tcPr>
          <w:p>
            <w:pPr>
              <w:spacing w:after="20" w:line="240" w:lineRule="auto"/>
            </w:pPr>
            <w:r>
              <w:rPr>
                <w:sz w:val="17"/>
              </w:rPr>
              <w:t>Pico · Día 2</w:t>
            </w:r>
          </w:p>
        </w:tc>
        <w:tc>
          <w:tcPr>
            <w:tcW w:type="dxa" w:w="1162"/>
            <w:shd w:val="clear" w:color="auto" w:fill="F3F6FA"/>
          </w:tcPr>
          <w:p>
            <w:pPr>
              <w:spacing w:after="20" w:line="240" w:lineRule="auto"/>
            </w:pPr>
            <w:r>
              <w:rPr>
                <w:sz w:val="17"/>
              </w:rPr>
              <w:t>−0,01</w:t>
            </w:r>
          </w:p>
        </w:tc>
        <w:tc>
          <w:tcPr>
            <w:tcW w:type="dxa" w:w="1162"/>
            <w:shd w:val="clear" w:color="auto" w:fill="F3F6FA"/>
          </w:tcPr>
          <w:p>
            <w:pPr>
              <w:spacing w:after="20" w:line="240" w:lineRule="auto"/>
            </w:pPr>
            <w:r>
              <w:rPr>
                <w:sz w:val="17"/>
              </w:rPr>
              <w:t>−0,09</w:t>
            </w:r>
          </w:p>
        </w:tc>
        <w:tc>
          <w:tcPr>
            <w:tcW w:type="dxa" w:w="1162"/>
            <w:shd w:val="clear" w:color="auto" w:fill="F3F6FA"/>
          </w:tcPr>
          <w:p>
            <w:pPr>
              <w:spacing w:after="20" w:line="240" w:lineRule="auto"/>
            </w:pPr>
            <w:r>
              <w:rPr>
                <w:sz w:val="17"/>
              </w:rPr>
              <w:t>0,01</w:t>
            </w:r>
          </w:p>
        </w:tc>
        <w:tc>
          <w:tcPr>
            <w:tcW w:type="dxa" w:w="1162"/>
            <w:shd w:val="clear" w:color="auto" w:fill="F3F6FA"/>
          </w:tcPr>
          <w:p>
            <w:pPr>
              <w:spacing w:after="20" w:line="240" w:lineRule="auto"/>
            </w:pPr>
            <w:r>
              <w:rPr>
                <w:sz w:val="17"/>
              </w:rPr>
              <w:t>0,19*</w:t>
            </w:r>
          </w:p>
        </w:tc>
        <w:tc>
          <w:tcPr>
            <w:tcW w:type="dxa" w:w="1162"/>
            <w:shd w:val="clear" w:color="auto" w:fill="F3F6FA"/>
          </w:tcPr>
          <w:p>
            <w:pPr>
              <w:spacing w:after="20" w:line="240" w:lineRule="auto"/>
            </w:pPr>
            <w:r>
              <w:rPr>
                <w:sz w:val="17"/>
              </w:rPr>
              <w:t>0,19*</w:t>
            </w:r>
          </w:p>
        </w:tc>
        <w:tc>
          <w:tcPr>
            <w:tcW w:type="dxa" w:w="1162"/>
            <w:shd w:val="clear" w:color="auto" w:fill="F3F6FA"/>
          </w:tcPr>
          <w:p>
            <w:pPr>
              <w:spacing w:after="20" w:line="240" w:lineRule="auto"/>
            </w:pPr>
            <w:r>
              <w:rPr>
                <w:sz w:val="17"/>
              </w:rPr>
              <w:t>0,33*</w:t>
            </w:r>
          </w:p>
        </w:tc>
      </w:tr>
      <w:tr>
        <w:tc>
          <w:tcPr>
            <w:tcW w:type="dxa" w:w="2657"/>
          </w:tcPr>
          <w:p>
            <w:pPr>
              <w:spacing w:after="20" w:line="240" w:lineRule="auto"/>
            </w:pPr>
            <w:r>
              <w:rPr>
                <w:sz w:val="17"/>
              </w:rPr>
              <w:t>Pico · Día 3</w:t>
            </w:r>
          </w:p>
        </w:tc>
        <w:tc>
          <w:tcPr>
            <w:tcW w:type="dxa" w:w="1162"/>
          </w:tcPr>
          <w:p>
            <w:pPr>
              <w:spacing w:after="20" w:line="240" w:lineRule="auto"/>
            </w:pPr>
            <w:r>
              <w:rPr>
                <w:sz w:val="17"/>
              </w:rPr>
              <w:t>−0,02</w:t>
            </w:r>
          </w:p>
        </w:tc>
        <w:tc>
          <w:tcPr>
            <w:tcW w:type="dxa" w:w="1162"/>
          </w:tcPr>
          <w:p>
            <w:pPr>
              <w:spacing w:after="20" w:line="240" w:lineRule="auto"/>
            </w:pPr>
            <w:r>
              <w:rPr>
                <w:sz w:val="17"/>
              </w:rPr>
              <w:t>0,01</w:t>
            </w:r>
          </w:p>
        </w:tc>
        <w:tc>
          <w:tcPr>
            <w:tcW w:type="dxa" w:w="1162"/>
          </w:tcPr>
          <w:p>
            <w:pPr>
              <w:spacing w:after="20" w:line="240" w:lineRule="auto"/>
            </w:pPr>
            <w:r>
              <w:rPr>
                <w:sz w:val="17"/>
              </w:rPr>
              <w:t>−0,04</w:t>
            </w:r>
          </w:p>
        </w:tc>
        <w:tc>
          <w:tcPr>
            <w:tcW w:type="dxa" w:w="1162"/>
          </w:tcPr>
          <w:p>
            <w:pPr>
              <w:spacing w:after="20" w:line="240" w:lineRule="auto"/>
            </w:pPr>
            <w:r>
              <w:rPr>
                <w:sz w:val="17"/>
              </w:rPr>
              <w:t>0,10*</w:t>
            </w:r>
          </w:p>
        </w:tc>
        <w:tc>
          <w:tcPr>
            <w:tcW w:type="dxa" w:w="1162"/>
          </w:tcPr>
          <w:p>
            <w:pPr>
              <w:spacing w:after="20" w:line="240" w:lineRule="auto"/>
            </w:pPr>
            <w:r>
              <w:rPr>
                <w:sz w:val="17"/>
              </w:rPr>
              <w:t>0,18*</w:t>
            </w:r>
          </w:p>
        </w:tc>
        <w:tc>
          <w:tcPr>
            <w:tcW w:type="dxa" w:w="1162"/>
          </w:tcPr>
          <w:p>
            <w:pPr>
              <w:spacing w:after="20" w:line="240" w:lineRule="auto"/>
            </w:pPr>
            <w:r>
              <w:rPr>
                <w:sz w:val="17"/>
              </w:rPr>
              <w:t>0,25*</w:t>
            </w:r>
          </w:p>
        </w:tc>
      </w:tr>
      <w:tr>
        <w:tc>
          <w:tcPr>
            <w:tcW w:type="dxa" w:w="2657"/>
            <w:shd w:val="clear" w:color="auto" w:fill="F3F6FA"/>
          </w:tcPr>
          <w:p>
            <w:pPr>
              <w:spacing w:after="20" w:line="240" w:lineRule="auto"/>
            </w:pPr>
            <w:r>
              <w:rPr>
                <w:sz w:val="17"/>
              </w:rPr>
              <w:t>Desplome · Día 1</w:t>
            </w:r>
          </w:p>
        </w:tc>
        <w:tc>
          <w:tcPr>
            <w:tcW w:type="dxa" w:w="1162"/>
            <w:shd w:val="clear" w:color="auto" w:fill="F3F6FA"/>
          </w:tcPr>
          <w:p>
            <w:pPr>
              <w:spacing w:after="20" w:line="240" w:lineRule="auto"/>
            </w:pPr>
            <w:r>
              <w:rPr>
                <w:sz w:val="17"/>
              </w:rPr>
              <w:t>0,46*</w:t>
            </w:r>
          </w:p>
        </w:tc>
        <w:tc>
          <w:tcPr>
            <w:tcW w:type="dxa" w:w="1162"/>
            <w:shd w:val="clear" w:color="auto" w:fill="F3F6FA"/>
          </w:tcPr>
          <w:p>
            <w:pPr>
              <w:spacing w:after="20" w:line="240" w:lineRule="auto"/>
            </w:pPr>
            <w:r>
              <w:rPr>
                <w:sz w:val="17"/>
              </w:rPr>
              <w:t>0,57*</w:t>
            </w:r>
          </w:p>
        </w:tc>
        <w:tc>
          <w:tcPr>
            <w:tcW w:type="dxa" w:w="1162"/>
            <w:shd w:val="clear" w:color="auto" w:fill="F3F6FA"/>
          </w:tcPr>
          <w:p>
            <w:pPr>
              <w:spacing w:after="20" w:line="240" w:lineRule="auto"/>
            </w:pPr>
            <w:r>
              <w:rPr>
                <w:sz w:val="17"/>
              </w:rPr>
              <w:t>0,42*</w:t>
            </w:r>
          </w:p>
        </w:tc>
        <w:tc>
          <w:tcPr>
            <w:tcW w:type="dxa" w:w="1162"/>
            <w:shd w:val="clear" w:color="auto" w:fill="F3F6FA"/>
          </w:tcPr>
          <w:p>
            <w:pPr>
              <w:spacing w:after="20" w:line="240" w:lineRule="auto"/>
            </w:pPr>
            <w:r>
              <w:rPr>
                <w:sz w:val="17"/>
              </w:rPr>
              <w:t>0,33*</w:t>
            </w:r>
          </w:p>
        </w:tc>
        <w:tc>
          <w:tcPr>
            <w:tcW w:type="dxa" w:w="1162"/>
            <w:shd w:val="clear" w:color="auto" w:fill="F3F6FA"/>
          </w:tcPr>
          <w:p>
            <w:pPr>
              <w:spacing w:after="20" w:line="240" w:lineRule="auto"/>
            </w:pPr>
            <w:r>
              <w:rPr>
                <w:sz w:val="17"/>
              </w:rPr>
              <w:t>0,31*</w:t>
            </w:r>
          </w:p>
        </w:tc>
        <w:tc>
          <w:tcPr>
            <w:tcW w:type="dxa" w:w="1162"/>
            <w:shd w:val="clear" w:color="auto" w:fill="F3F6FA"/>
          </w:tcPr>
          <w:p>
            <w:pPr>
              <w:spacing w:after="20" w:line="240" w:lineRule="auto"/>
            </w:pPr>
            <w:r>
              <w:rPr>
                <w:sz w:val="17"/>
              </w:rPr>
              <w:t>0,34*</w:t>
            </w:r>
          </w:p>
        </w:tc>
      </w:tr>
      <w:tr>
        <w:tc>
          <w:tcPr>
            <w:tcW w:type="dxa" w:w="2657"/>
          </w:tcPr>
          <w:p>
            <w:pPr>
              <w:spacing w:after="20" w:line="240" w:lineRule="auto"/>
            </w:pPr>
            <w:r>
              <w:rPr>
                <w:sz w:val="17"/>
              </w:rPr>
              <w:t>Desplome · Día 2</w:t>
            </w:r>
          </w:p>
        </w:tc>
        <w:tc>
          <w:tcPr>
            <w:tcW w:type="dxa" w:w="1162"/>
          </w:tcPr>
          <w:p>
            <w:pPr>
              <w:spacing w:after="20" w:line="240" w:lineRule="auto"/>
            </w:pPr>
            <w:r>
              <w:rPr>
                <w:sz w:val="17"/>
              </w:rPr>
              <w:t>−0,08</w:t>
            </w:r>
          </w:p>
        </w:tc>
        <w:tc>
          <w:tcPr>
            <w:tcW w:type="dxa" w:w="1162"/>
          </w:tcPr>
          <w:p>
            <w:pPr>
              <w:spacing w:after="20" w:line="240" w:lineRule="auto"/>
            </w:pPr>
            <w:r>
              <w:rPr>
                <w:sz w:val="17"/>
              </w:rPr>
              <w:t>0,31*</w:t>
            </w:r>
          </w:p>
        </w:tc>
        <w:tc>
          <w:tcPr>
            <w:tcW w:type="dxa" w:w="1162"/>
          </w:tcPr>
          <w:p>
            <w:pPr>
              <w:spacing w:after="20" w:line="240" w:lineRule="auto"/>
            </w:pPr>
            <w:r>
              <w:rPr>
                <w:sz w:val="17"/>
              </w:rPr>
              <w:t>0,07</w:t>
            </w:r>
          </w:p>
        </w:tc>
        <w:tc>
          <w:tcPr>
            <w:tcW w:type="dxa" w:w="1162"/>
          </w:tcPr>
          <w:p>
            <w:pPr>
              <w:spacing w:after="20" w:line="240" w:lineRule="auto"/>
            </w:pPr>
            <w:r>
              <w:rPr>
                <w:sz w:val="17"/>
              </w:rPr>
              <w:t>−0,01</w:t>
            </w:r>
          </w:p>
        </w:tc>
        <w:tc>
          <w:tcPr>
            <w:tcW w:type="dxa" w:w="1162"/>
          </w:tcPr>
          <w:p>
            <w:pPr>
              <w:spacing w:after="20" w:line="240" w:lineRule="auto"/>
            </w:pPr>
            <w:r>
              <w:rPr>
                <w:sz w:val="17"/>
              </w:rPr>
              <w:t>0,07</w:t>
            </w:r>
          </w:p>
        </w:tc>
        <w:tc>
          <w:tcPr>
            <w:tcW w:type="dxa" w:w="1162"/>
          </w:tcPr>
          <w:p>
            <w:pPr>
              <w:spacing w:after="20" w:line="240" w:lineRule="auto"/>
            </w:pPr>
            <w:r>
              <w:rPr>
                <w:sz w:val="17"/>
              </w:rPr>
              <w:t>0,13*</w:t>
            </w:r>
          </w:p>
        </w:tc>
      </w:tr>
      <w:tr>
        <w:tc>
          <w:tcPr>
            <w:tcW w:type="dxa" w:w="2657"/>
            <w:shd w:val="clear" w:color="auto" w:fill="F3F6FA"/>
          </w:tcPr>
          <w:p>
            <w:pPr>
              <w:spacing w:after="20" w:line="240" w:lineRule="auto"/>
            </w:pPr>
            <w:r>
              <w:rPr>
                <w:sz w:val="17"/>
              </w:rPr>
              <w:t>Desplome · Día 3</w:t>
            </w:r>
          </w:p>
        </w:tc>
        <w:tc>
          <w:tcPr>
            <w:tcW w:type="dxa" w:w="1162"/>
            <w:shd w:val="clear" w:color="auto" w:fill="F3F6FA"/>
          </w:tcPr>
          <w:p>
            <w:pPr>
              <w:spacing w:after="20" w:line="240" w:lineRule="auto"/>
            </w:pPr>
            <w:r>
              <w:rPr>
                <w:sz w:val="17"/>
              </w:rPr>
              <w:t>−0,30†</w:t>
            </w:r>
          </w:p>
        </w:tc>
        <w:tc>
          <w:tcPr>
            <w:tcW w:type="dxa" w:w="1162"/>
            <w:shd w:val="clear" w:color="auto" w:fill="F3F6FA"/>
          </w:tcPr>
          <w:p>
            <w:pPr>
              <w:spacing w:after="20" w:line="240" w:lineRule="auto"/>
            </w:pPr>
            <w:r>
              <w:rPr>
                <w:sz w:val="17"/>
              </w:rPr>
              <w:t>0,25*</w:t>
            </w:r>
          </w:p>
        </w:tc>
        <w:tc>
          <w:tcPr>
            <w:tcW w:type="dxa" w:w="1162"/>
            <w:shd w:val="clear" w:color="auto" w:fill="F3F6FA"/>
          </w:tcPr>
          <w:p>
            <w:pPr>
              <w:spacing w:after="20" w:line="240" w:lineRule="auto"/>
            </w:pPr>
            <w:r>
              <w:rPr>
                <w:sz w:val="17"/>
              </w:rPr>
              <w:t>−0,04</w:t>
            </w:r>
          </w:p>
        </w:tc>
        <w:tc>
          <w:tcPr>
            <w:tcW w:type="dxa" w:w="1162"/>
            <w:shd w:val="clear" w:color="auto" w:fill="F3F6FA"/>
          </w:tcPr>
          <w:p>
            <w:pPr>
              <w:spacing w:after="20" w:line="240" w:lineRule="auto"/>
            </w:pPr>
            <w:r>
              <w:rPr>
                <w:sz w:val="17"/>
              </w:rPr>
              <w:t>−0,03</w:t>
            </w:r>
          </w:p>
        </w:tc>
        <w:tc>
          <w:tcPr>
            <w:tcW w:type="dxa" w:w="1162"/>
            <w:shd w:val="clear" w:color="auto" w:fill="F3F6FA"/>
          </w:tcPr>
          <w:p>
            <w:pPr>
              <w:spacing w:after="20" w:line="240" w:lineRule="auto"/>
            </w:pPr>
            <w:r>
              <w:rPr>
                <w:sz w:val="17"/>
              </w:rPr>
              <w:t>0,05</w:t>
            </w:r>
          </w:p>
        </w:tc>
        <w:tc>
          <w:tcPr>
            <w:tcW w:type="dxa" w:w="1162"/>
            <w:shd w:val="clear" w:color="auto" w:fill="F3F6FA"/>
          </w:tcPr>
          <w:p>
            <w:pPr>
              <w:spacing w:after="20" w:line="240" w:lineRule="auto"/>
            </w:pPr>
            <w:r>
              <w:rPr>
                <w:sz w:val="17"/>
              </w:rPr>
              <w:t>0,11*</w:t>
            </w:r>
          </w:p>
        </w:tc>
      </w:tr>
    </w:tbl>
    <w:p>
      <w:r>
        <w:rPr>
          <w:color w:val="595959"/>
          <w:sz w:val="17"/>
        </w:rPr>
        <w:t>BSS positivo = mejor que la frecuencia histórica de esa hora. * = significativamente mejor; † = significativamente peor (Diebold-Mariano sobre el puntaje de Brier, p &lt; 0,05). Se publican el día 1 (pico y desplome) y el pico de los días 2 y 3.</w:t>
      </w:r>
    </w:p>
    <w:p>
      <w:pPr>
        <w:pStyle w:val="Heading1"/>
      </w:pPr>
      <w:r>
        <w:t>10. Comparación con otros trabajos</w:t>
      </w:r>
    </w:p>
    <w:p>
      <w:pPr>
        <w:jc w:val="both"/>
      </w:pPr>
      <w:r>
        <w:t>La comparación numérica directa es difícil porque cada trabajo usa otra resolución (diaria, mensual u horaria), otro periodo y, sobre todo, otra información disponible. La tabla resume en qué se diferencia Augur.</w:t>
      </w:r>
    </w:p>
    <w:p>
      <w:pPr>
        <w:keepNext/>
        <w:spacing w:after="60"/>
      </w:pPr>
      <w:r>
        <w:rPr>
          <w:b/>
          <w:color w:val="1F4E79"/>
          <w:sz w:val="20"/>
        </w:rPr>
        <w:t>Tabla 24. Antecedentes y comparación</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156"/>
            <w:shd w:val="clear" w:color="auto" w:fill="1F4E79"/>
          </w:tcPr>
          <w:p>
            <w:pPr>
              <w:spacing w:after="20" w:line="240" w:lineRule="auto"/>
            </w:pPr>
            <w:r>
              <w:rPr>
                <w:b/>
                <w:color w:val="FFFFFF"/>
                <w:sz w:val="17"/>
              </w:rPr>
              <w:t>Trabajo</w:t>
            </w:r>
          </w:p>
        </w:tc>
        <w:tc>
          <w:tcPr>
            <w:tcW w:type="dxa" w:w="2444"/>
            <w:shd w:val="clear" w:color="auto" w:fill="1F4E79"/>
          </w:tcPr>
          <w:p>
            <w:pPr>
              <w:spacing w:after="20" w:line="240" w:lineRule="auto"/>
            </w:pPr>
            <w:r>
              <w:rPr>
                <w:b/>
                <w:color w:val="FFFFFF"/>
                <w:sz w:val="17"/>
              </w:rPr>
              <w:t>Qué pronostica y cómo</w:t>
            </w:r>
          </w:p>
        </w:tc>
        <w:tc>
          <w:tcPr>
            <w:tcW w:type="dxa" w:w="1581"/>
            <w:shd w:val="clear" w:color="auto" w:fill="1F4E79"/>
          </w:tcPr>
          <w:p>
            <w:pPr>
              <w:spacing w:after="20" w:line="240" w:lineRule="auto"/>
            </w:pPr>
            <w:r>
              <w:rPr>
                <w:b/>
                <w:color w:val="FFFFFF"/>
                <w:sz w:val="17"/>
              </w:rPr>
              <w:t>Error reportado</w:t>
            </w:r>
          </w:p>
        </w:tc>
        <w:tc>
          <w:tcPr>
            <w:tcW w:type="dxa" w:w="3450"/>
            <w:shd w:val="clear" w:color="auto" w:fill="1F4E79"/>
          </w:tcPr>
          <w:p>
            <w:pPr>
              <w:spacing w:after="20" w:line="240" w:lineRule="auto"/>
            </w:pPr>
            <w:r>
              <w:rPr>
                <w:b/>
                <w:color w:val="FFFFFF"/>
                <w:sz w:val="17"/>
              </w:rPr>
              <w:t>Diferencia con Augur</w:t>
            </w:r>
          </w:p>
        </w:tc>
      </w:tr>
      <w:tr>
        <w:tc>
          <w:tcPr>
            <w:tcW w:type="dxa" w:w="2156"/>
          </w:tcPr>
          <w:p>
            <w:pPr>
              <w:spacing w:after="20" w:line="240" w:lineRule="auto"/>
            </w:pPr>
            <w:r>
              <w:rPr>
                <w:sz w:val="17"/>
              </w:rPr>
              <w:t>Becerra Pulido (2025), USTA, Ing. Electrónica</w:t>
            </w:r>
          </w:p>
        </w:tc>
        <w:tc>
          <w:tcPr>
            <w:tcW w:type="dxa" w:w="2444"/>
          </w:tcPr>
          <w:p>
            <w:pPr>
              <w:spacing w:after="20" w:line="240" w:lineRule="auto"/>
            </w:pPr>
            <w:r>
              <w:rPr>
                <w:sz w:val="17"/>
              </w:rPr>
              <w:t>Precio diario 2024 con SARIMAX (demanda, hidráulica, embalses)</w:t>
            </w:r>
          </w:p>
        </w:tc>
        <w:tc>
          <w:tcPr>
            <w:tcW w:type="dxa" w:w="1581"/>
          </w:tcPr>
          <w:p>
            <w:pPr>
              <w:spacing w:after="20" w:line="240" w:lineRule="auto"/>
            </w:pPr>
            <w:r>
              <w:rPr>
                <w:sz w:val="17"/>
              </w:rPr>
              <w:t>MAPE 9,14 %</w:t>
            </w:r>
          </w:p>
        </w:tc>
        <w:tc>
          <w:tcPr>
            <w:tcW w:type="dxa" w:w="3450"/>
          </w:tcPr>
          <w:p>
            <w:pPr>
              <w:spacing w:after="20" w:line="240" w:lineRule="auto"/>
            </w:pPr>
            <w:r>
              <w:rPr>
                <w:sz w:val="17"/>
              </w:rPr>
              <w:t>Usa el precio del día anterior (no público a tiempo) y reemplaza los picos por la mediana; Augur es horario, sin esos supuestos: MAPE 10,0 %</w:t>
            </w:r>
          </w:p>
        </w:tc>
      </w:tr>
      <w:tr>
        <w:tc>
          <w:tcPr>
            <w:tcW w:type="dxa" w:w="2156"/>
            <w:shd w:val="clear" w:color="auto" w:fill="F3F6FA"/>
          </w:tcPr>
          <w:p>
            <w:pPr>
              <w:spacing w:after="20" w:line="240" w:lineRule="auto"/>
            </w:pPr>
            <w:r>
              <w:rPr>
                <w:sz w:val="17"/>
              </w:rPr>
              <w:t>Ferraro Rodríguez (2025), UNAL, maestría</w:t>
            </w:r>
          </w:p>
        </w:tc>
        <w:tc>
          <w:tcPr>
            <w:tcW w:type="dxa" w:w="2444"/>
            <w:shd w:val="clear" w:color="auto" w:fill="F3F6FA"/>
          </w:tcPr>
          <w:p>
            <w:pPr>
              <w:spacing w:after="20" w:line="240" w:lineRule="auto"/>
            </w:pPr>
            <w:r>
              <w:rPr>
                <w:sz w:val="17"/>
              </w:rPr>
              <w:t>Correlaciones y ARIMA mensual 2010-2024</w:t>
            </w:r>
          </w:p>
        </w:tc>
        <w:tc>
          <w:tcPr>
            <w:tcW w:type="dxa" w:w="1581"/>
            <w:shd w:val="clear" w:color="auto" w:fill="F3F6FA"/>
          </w:tcPr>
          <w:p>
            <w:pPr>
              <w:spacing w:after="20" w:line="240" w:lineRule="auto"/>
            </w:pPr>
            <w:r>
              <w:rPr>
                <w:sz w:val="17"/>
              </w:rPr>
              <w:t>no reporta métrica numérica</w:t>
            </w:r>
          </w:p>
        </w:tc>
        <w:tc>
          <w:tcPr>
            <w:tcW w:type="dxa" w:w="3450"/>
            <w:shd w:val="clear" w:color="auto" w:fill="F3F6FA"/>
          </w:tcPr>
          <w:p>
            <w:pPr>
              <w:spacing w:after="20" w:line="240" w:lineRule="auto"/>
            </w:pPr>
            <w:r>
              <w:rPr>
                <w:sz w:val="17"/>
              </w:rPr>
              <w:t>Confirma que la oferta hidráulica explica el precio (r = 0,94); Augur lo aprovecha vía predespacho, que sí es público a tiempo</w:t>
            </w:r>
          </w:p>
        </w:tc>
      </w:tr>
      <w:tr>
        <w:tc>
          <w:tcPr>
            <w:tcW w:type="dxa" w:w="2156"/>
          </w:tcPr>
          <w:p>
            <w:pPr>
              <w:spacing w:after="20" w:line="240" w:lineRule="auto"/>
            </w:pPr>
            <w:r>
              <w:rPr>
                <w:sz w:val="17"/>
              </w:rPr>
              <w:t>García del Villar et al. (2020), Uninorte</w:t>
            </w:r>
          </w:p>
        </w:tc>
        <w:tc>
          <w:tcPr>
            <w:tcW w:type="dxa" w:w="2444"/>
          </w:tcPr>
          <w:p>
            <w:pPr>
              <w:spacing w:after="20" w:line="240" w:lineRule="auto"/>
            </w:pPr>
            <w:r>
              <w:rPr>
                <w:sz w:val="17"/>
              </w:rPr>
              <w:t>Precio promedio diario con Prophet, TBATS y redes</w:t>
            </w:r>
          </w:p>
        </w:tc>
        <w:tc>
          <w:tcPr>
            <w:tcW w:type="dxa" w:w="1581"/>
          </w:tcPr>
          <w:p>
            <w:pPr>
              <w:spacing w:after="20" w:line="240" w:lineRule="auto"/>
            </w:pPr>
            <w:r>
              <w:rPr>
                <w:sz w:val="17"/>
              </w:rPr>
              <w:t>la red subestimó 19 % en promedio</w:t>
            </w:r>
          </w:p>
        </w:tc>
        <w:tc>
          <w:tcPr>
            <w:tcW w:type="dxa" w:w="3450"/>
          </w:tcPr>
          <w:p>
            <w:pPr>
              <w:spacing w:after="20" w:line="240" w:lineRule="auto"/>
            </w:pPr>
            <w:r>
              <w:rPr>
                <w:sz w:val="17"/>
              </w:rPr>
              <w:t>Augur es horario, con bandas y motor de decisión</w:t>
            </w:r>
          </w:p>
        </w:tc>
      </w:tr>
      <w:tr>
        <w:tc>
          <w:tcPr>
            <w:tcW w:type="dxa" w:w="2156"/>
            <w:shd w:val="clear" w:color="auto" w:fill="F3F6FA"/>
          </w:tcPr>
          <w:p>
            <w:pPr>
              <w:spacing w:after="20" w:line="240" w:lineRule="auto"/>
            </w:pPr>
            <w:r>
              <w:rPr>
                <w:sz w:val="17"/>
              </w:rPr>
              <w:t>Sánchez y Noguera (2024), Uninorte</w:t>
            </w:r>
          </w:p>
        </w:tc>
        <w:tc>
          <w:tcPr>
            <w:tcW w:type="dxa" w:w="2444"/>
            <w:shd w:val="clear" w:color="auto" w:fill="F3F6FA"/>
          </w:tcPr>
          <w:p>
            <w:pPr>
              <w:spacing w:after="20" w:line="240" w:lineRule="auto"/>
            </w:pPr>
            <w:r>
              <w:rPr>
                <w:sz w:val="17"/>
              </w:rPr>
              <w:t>MPO ajustado (proyecto CREG 701 049) con redes neuronales</w:t>
            </w:r>
          </w:p>
        </w:tc>
        <w:tc>
          <w:tcPr>
            <w:tcW w:type="dxa" w:w="1581"/>
            <w:shd w:val="clear" w:color="auto" w:fill="F3F6FA"/>
          </w:tcPr>
          <w:p>
            <w:pPr>
              <w:spacing w:after="20" w:line="240" w:lineRule="auto"/>
            </w:pPr>
            <w:r>
              <w:rPr>
                <w:sz w:val="17"/>
              </w:rPr>
              <w:t>dashboard diario</w:t>
            </w:r>
          </w:p>
        </w:tc>
        <w:tc>
          <w:tcPr>
            <w:tcW w:type="dxa" w:w="3450"/>
            <w:shd w:val="clear" w:color="auto" w:fill="F3F6FA"/>
          </w:tcPr>
          <w:p>
            <w:pPr>
              <w:spacing w:after="20" w:line="240" w:lineRule="auto"/>
            </w:pPr>
            <w:r>
              <w:rPr>
                <w:sz w:val="17"/>
              </w:rPr>
              <w:t>Estudia la formación del precio; Augur pronostica el precio y recomienda acciones</w:t>
            </w:r>
          </w:p>
        </w:tc>
      </w:tr>
      <w:tr>
        <w:tc>
          <w:tcPr>
            <w:tcW w:type="dxa" w:w="2156"/>
          </w:tcPr>
          <w:p>
            <w:pPr>
              <w:spacing w:after="20" w:line="240" w:lineRule="auto"/>
            </w:pPr>
            <w:r>
              <w:rPr>
                <w:sz w:val="17"/>
              </w:rPr>
              <w:t>Barrientos et al. (2018), U. de Antioquia</w:t>
            </w:r>
          </w:p>
        </w:tc>
        <w:tc>
          <w:tcPr>
            <w:tcW w:type="dxa" w:w="2444"/>
          </w:tcPr>
          <w:p>
            <w:pPr>
              <w:spacing w:after="20" w:line="240" w:lineRule="auto"/>
            </w:pPr>
            <w:r>
              <w:rPr>
                <w:sz w:val="17"/>
              </w:rPr>
              <w:t>Precio horario 2000-2017 con redes, ARMA e híbridos</w:t>
            </w:r>
          </w:p>
        </w:tc>
        <w:tc>
          <w:tcPr>
            <w:tcW w:type="dxa" w:w="1581"/>
          </w:tcPr>
          <w:p>
            <w:pPr>
              <w:spacing w:after="20" w:line="240" w:lineRule="auto"/>
            </w:pPr>
            <w:r>
              <w:rPr>
                <w:sz w:val="17"/>
              </w:rPr>
              <w:t>MAPE 6,7 %</w:t>
            </w:r>
          </w:p>
        </w:tc>
        <w:tc>
          <w:tcPr>
            <w:tcW w:type="dxa" w:w="3450"/>
          </w:tcPr>
          <w:p>
            <w:pPr>
              <w:spacing w:after="20" w:line="240" w:lineRule="auto"/>
            </w:pPr>
            <w:r>
              <w:rPr>
                <w:sz w:val="17"/>
              </w:rPr>
              <w:t>Sin los eventos extremos de 2023-2026 y suponiendo conocido el precio del día anterior</w:t>
            </w:r>
          </w:p>
        </w:tc>
      </w:tr>
      <w:tr>
        <w:tc>
          <w:tcPr>
            <w:tcW w:type="dxa" w:w="2156"/>
            <w:shd w:val="clear" w:color="auto" w:fill="F3F6FA"/>
          </w:tcPr>
          <w:p>
            <w:pPr>
              <w:spacing w:after="20" w:line="240" w:lineRule="auto"/>
            </w:pPr>
            <w:r>
              <w:rPr>
                <w:sz w:val="17"/>
              </w:rPr>
              <w:t>Kapoor y Wichitaksorn (2023), Nueva Zelanda</w:t>
            </w:r>
          </w:p>
        </w:tc>
        <w:tc>
          <w:tcPr>
            <w:tcW w:type="dxa" w:w="2444"/>
            <w:shd w:val="clear" w:color="auto" w:fill="F3F6FA"/>
          </w:tcPr>
          <w:p>
            <w:pPr>
              <w:spacing w:after="20" w:line="240" w:lineRule="auto"/>
            </w:pPr>
            <w:r>
              <w:rPr>
                <w:sz w:val="17"/>
              </w:rPr>
              <w:t>33 modelos en un mercado hidro-dominado</w:t>
            </w:r>
          </w:p>
        </w:tc>
        <w:tc>
          <w:tcPr>
            <w:tcW w:type="dxa" w:w="1581"/>
            <w:shd w:val="clear" w:color="auto" w:fill="F3F6FA"/>
          </w:tcPr>
          <w:p>
            <w:pPr>
              <w:spacing w:after="20" w:line="240" w:lineRule="auto"/>
            </w:pPr>
            <w:r>
              <w:rPr>
                <w:sz w:val="17"/>
              </w:rPr>
              <w:t>ninguno supera al ingenuo en todos los años</w:t>
            </w:r>
          </w:p>
        </w:tc>
        <w:tc>
          <w:tcPr>
            <w:tcW w:type="dxa" w:w="3450"/>
            <w:shd w:val="clear" w:color="auto" w:fill="F3F6FA"/>
          </w:tcPr>
          <w:p>
            <w:pPr>
              <w:spacing w:after="20" w:line="240" w:lineRule="auto"/>
            </w:pPr>
            <w:r>
              <w:rPr>
                <w:sz w:val="17"/>
              </w:rPr>
              <w:t>Augur supera a su referencia ingenua en todos los años evaluados</w:t>
            </w:r>
          </w:p>
        </w:tc>
      </w:tr>
      <w:tr>
        <w:tc>
          <w:tcPr>
            <w:tcW w:type="dxa" w:w="2156"/>
          </w:tcPr>
          <w:p>
            <w:pPr>
              <w:spacing w:after="20" w:line="240" w:lineRule="auto"/>
            </w:pPr>
            <w:r>
              <w:rPr>
                <w:sz w:val="17"/>
              </w:rPr>
              <w:t>Predespacho ideal de XM</w:t>
            </w:r>
          </w:p>
        </w:tc>
        <w:tc>
          <w:tcPr>
            <w:tcW w:type="dxa" w:w="2444"/>
          </w:tcPr>
          <w:p>
            <w:pPr>
              <w:spacing w:after="20" w:line="240" w:lineRule="auto"/>
            </w:pPr>
            <w:r>
              <w:rPr>
                <w:sz w:val="17"/>
              </w:rPr>
              <w:t>Despacho del operador con la demanda pronosticada</w:t>
            </w:r>
          </w:p>
        </w:tc>
        <w:tc>
          <w:tcPr>
            <w:tcW w:type="dxa" w:w="1581"/>
          </w:tcPr>
          <w:p>
            <w:pPr>
              <w:spacing w:after="20" w:line="240" w:lineRule="auto"/>
            </w:pPr>
            <w:r>
              <w:rPr>
                <w:sz w:val="17"/>
              </w:rPr>
              <w:t>MAE 37,9 (2026)</w:t>
            </w:r>
          </w:p>
        </w:tc>
        <w:tc>
          <w:tcPr>
            <w:tcW w:type="dxa" w:w="3450"/>
          </w:tcPr>
          <w:p>
            <w:pPr>
              <w:spacing w:after="20" w:line="240" w:lineRule="auto"/>
            </w:pPr>
            <w:r>
              <w:rPr>
                <w:sz w:val="17"/>
              </w:rPr>
              <w:t>Augur lo mejora en 11 % en 2026 y en los cinco años históricos</w:t>
            </w:r>
          </w:p>
        </w:tc>
      </w:tr>
    </w:tbl>
    <w:p>
      <w:pPr>
        <w:spacing w:after="0"/>
      </w:pPr>
    </w:p>
    <w:tbl>
      <w:tblPr>
        <w:tblW w:type="auto" w:w="0"/>
        <w:jc w:val="center"/>
        <w:tblLook w:firstColumn="1" w:firstRow="1" w:lastColumn="0" w:lastRow="0" w:noHBand="0" w:noVBand="1" w:val="04A0"/>
      </w:tblPr>
      <w:tblGrid>
        <w:gridCol w:w="9632"/>
      </w:tblGrid>
      <w:tr>
        <w:tc>
          <w:tcPr>
            <w:tcW w:type="dxa" w:w="9632"/>
            <w:shd w:val="clear" w:color="auto" w:fill="EAF1F8"/>
          </w:tcPr>
          <w:p>
            <w:pPr>
              <w:spacing w:after="40"/>
            </w:pPr>
            <w:r>
              <w:rPr>
                <w:b/>
                <w:sz w:val="20"/>
              </w:rPr>
              <w:t>Lectura correcta.</w:t>
            </w:r>
            <w:r>
              <w:rPr>
                <w:sz w:val="20"/>
              </w:rPr>
              <w:t xml:space="preserve"> Varios antecedentes usan el precio de ayer como entrada, lo que hace sus errores más bajos en el papel pero irrealizables con datos públicos. Augur se evaluó con lo que de verdad existe a la hora de pronosticar.</w:t>
            </w:r>
          </w:p>
        </w:tc>
      </w:tr>
    </w:tbl>
    <w:p>
      <w:pPr>
        <w:spacing w:after="0"/>
      </w:pPr>
    </w:p>
    <w:p>
      <w:pPr>
        <w:pStyle w:val="Heading1"/>
      </w:pPr>
      <w:r>
        <w:t>11. Operación diaria</w:t>
      </w:r>
    </w:p>
    <w:p>
      <w:pPr>
        <w:jc w:val="both"/>
      </w:pPr>
      <w:r>
        <w:t>Un flujo de GitHub Actions corre tres veces al día (hora de Colombia, ~12:00, ~15:40 y ~18:40; se programan dos horas antes porque GitHub arranca con retraso). Cada corrida:</w:t>
      </w:r>
    </w:p>
    <w:p>
      <w:pPr>
        <w:pStyle w:val="ListNumber"/>
        <w:spacing w:after="40"/>
      </w:pPr>
      <w:r>
        <w:t>Descarga lo nuevo de XM (precio, demanda, hidrología, predespacho, despacho programado) y el ONI de NOAA.</w:t>
      </w:r>
    </w:p>
    <w:p>
      <w:pPr>
        <w:pStyle w:val="ListNumber"/>
        <w:spacing w:after="40"/>
      </w:pPr>
      <w:r>
        <w:t>Si empezó un mes nuevo, reentrena los CatBoost (unos minutos en un servidor sin GPU).</w:t>
      </w:r>
    </w:p>
    <w:p>
      <w:pPr>
        <w:pStyle w:val="ListNumber"/>
        <w:spacing w:after="40"/>
      </w:pPr>
      <w:r>
        <w:t>Pronostica hasta la ventana del día siguiente (24 h) y los tres días siguientes (72 h), con bandas y probabilidades de eventos.</w:t>
      </w:r>
    </w:p>
    <w:p>
      <w:pPr>
        <w:pStyle w:val="ListNumber"/>
        <w:spacing w:after="40"/>
      </w:pPr>
      <w:r>
        <w:t>Recalcula el motor de decisión y sube los resultados al repositorio.</w:t>
      </w:r>
    </w:p>
    <w:p>
      <w:pPr>
        <w:pStyle w:val="ListNumber"/>
        <w:spacing w:after="40"/>
      </w:pPr>
      <w:r>
        <w:t>Streamlit Community Cloud detecta el cambio y redespliega el dashboard.</w:t>
      </w:r>
    </w:p>
    <w:p>
      <w:pPr>
        <w:jc w:val="both"/>
      </w:pPr>
      <w:r>
        <w:t>La corrida del mediodía ya tiene el predespacho del día siguiente; las de la tarde lo recalculan con el despacho programado. Solo se congelan los días que ya empezaron.</w:t>
      </w:r>
    </w:p>
    <w:p>
      <w:pPr>
        <w:jc w:val="both"/>
      </w:pPr>
      <w:r>
        <w:rPr>
          <w:b/>
        </w:rPr>
        <w:t>Dashboard (augurpredictor.streamlit.app).</w:t>
      </w:r>
      <w:r>
        <w:t xml:space="preserve"> Tiene tres vistas: </w:t>
      </w:r>
      <w:r>
        <w:rPr>
          <w:b/>
        </w:rPr>
        <w:t>Operador</w:t>
      </w:r>
      <w:r>
        <w:t xml:space="preserve"> (recomendación de la hora elegida, pronóstico del día con banda, horas para actuar y posibilidad de pico o desplome), </w:t>
      </w:r>
      <w:r>
        <w:rPr>
          <w:b/>
        </w:rPr>
        <w:t>Analista</w:t>
      </w:r>
      <w:r>
        <w:t xml:space="preserve"> (semana, mapa de calor, backtest del motor y comparación de métodos) y </w:t>
      </w:r>
      <w:r>
        <w:rPr>
          <w:b/>
        </w:rPr>
        <w:t>Metodología</w:t>
      </w:r>
      <w:r>
        <w:t xml:space="preserve"> (cómo funciona, fórmulas y validación). Las gráficas admiten zoom con Ctrl + rueda o el touchpad, desplazamiento, clic en una hora para analizarla y botón para centrar.</w:t>
      </w:r>
    </w:p>
    <w:p>
      <w:pPr>
        <w:keepNext/>
        <w:jc w:val="center"/>
      </w:pPr>
      <w:r>
        <w:drawing>
          <wp:inline xmlns:a="http://schemas.openxmlformats.org/drawingml/2006/main" xmlns:pic="http://schemas.openxmlformats.org/drawingml/2006/picture">
            <wp:extent cx="5400000" cy="3042500"/>
            <wp:docPr id="4" name="Picture 4"/>
            <wp:cNvGraphicFramePr>
              <a:graphicFrameLocks noChangeAspect="1"/>
            </wp:cNvGraphicFramePr>
            <a:graphic>
              <a:graphicData uri="http://schemas.openxmlformats.org/drawingml/2006/picture">
                <pic:pic>
                  <pic:nvPicPr>
                    <pic:cNvPr id="0" name="dash_operador.png"/>
                    <pic:cNvPicPr/>
                  </pic:nvPicPr>
                  <pic:blipFill>
                    <a:blip r:embed="rId12"/>
                    <a:stretch>
                      <a:fillRect/>
                    </a:stretch>
                  </pic:blipFill>
                  <pic:spPr>
                    <a:xfrm>
                      <a:off x="0" y="0"/>
                      <a:ext cx="5400000" cy="3042500"/>
                    </a:xfrm>
                    <a:prstGeom prst="rect"/>
                  </pic:spPr>
                </pic:pic>
              </a:graphicData>
            </a:graphic>
          </wp:inline>
        </w:drawing>
      </w:r>
    </w:p>
    <w:p>
      <w:pPr>
        <w:jc w:val="center"/>
      </w:pPr>
      <w:r>
        <w:rPr>
          <w:color w:val="595959"/>
          <w:sz w:val="18"/>
        </w:rPr>
        <w:t>Figura 4. Vista Operador del dashboard.</w:t>
      </w:r>
    </w:p>
    <w:p>
      <w:pPr>
        <w:pStyle w:val="Heading1"/>
      </w:pPr>
      <w:r>
        <w:t>12. Limitaciones conocidas</w:t>
      </w:r>
    </w:p>
    <w:p>
      <w:pPr>
        <w:pStyle w:val="ListBullet"/>
        <w:spacing w:after="60"/>
      </w:pPr>
      <w:r>
        <w:rPr>
          <w:b/>
        </w:rPr>
        <w:t>Rezago de publicación.</w:t>
      </w:r>
      <w:r>
        <w:t xml:space="preserve"> El precio público llega con unos tres días de retraso; el modelo nunca ve el precio de ayer.</w:t>
      </w:r>
    </w:p>
    <w:p>
      <w:pPr>
        <w:pStyle w:val="ListBullet"/>
        <w:spacing w:after="60"/>
      </w:pPr>
      <w:r>
        <w:rPr>
          <w:b/>
        </w:rPr>
        <w:t>Dependencia del predespacho.</w:t>
      </w:r>
      <w:r>
        <w:t xml:space="preserve"> Los desfases de nivel de días completos que comete el predespacho (por ejemplo, del 11 al 18 de junio de 2026) no se pueden anticipar con información pública, y Augur hereda la amplitud de los picos que el predespacho anticipa y no ocurren.</w:t>
      </w:r>
    </w:p>
    <w:p>
      <w:pPr>
        <w:pStyle w:val="ListBullet"/>
        <w:spacing w:after="60"/>
      </w:pPr>
      <w:r>
        <w:rPr>
          <w:b/>
        </w:rPr>
        <w:t>Cambios regulatorios.</w:t>
      </w:r>
      <w:r>
        <w:t xml:space="preserve"> La Resolución CREG 101 127 de 2026 cambió las reglas dentro del periodo de operación y duplicó el error de todos los pronósticos, incluido el del predespacho de XM. Las dos adaptaciones probadas (más peso a lo reciente y una aproximación de la curva de ofertas de la resolución) no pasaron la validación histórica.</w:t>
      </w:r>
    </w:p>
    <w:p>
      <w:pPr>
        <w:pStyle w:val="ListBullet"/>
        <w:spacing w:after="60"/>
      </w:pPr>
      <w:r>
        <w:rPr>
          <w:b/>
        </w:rPr>
        <w:t>PBN y PTB.</w:t>
      </w:r>
      <w:r>
        <w:t xml:space="preserve"> Augur pronostica el PBN; en horas de escasez el precio de liquidación (PTB) puede ser menor.</w:t>
      </w:r>
    </w:p>
    <w:p>
      <w:pPr>
        <w:pStyle w:val="ListBullet"/>
        <w:spacing w:after="60"/>
      </w:pPr>
      <w:r>
        <w:rPr>
          <w:b/>
        </w:rPr>
        <w:t>El motor no es una simulación de portafolio.</w:t>
      </w:r>
      <w:r>
        <w:t xml:space="preserve"> La ventaja compara precios promedio; no modela contratos firmados, capacidad de almacenamiento, costos de transacción ni la secuencia real de decisiones.</w:t>
      </w:r>
    </w:p>
    <w:p>
      <w:pPr>
        <w:pStyle w:val="ListBullet"/>
        <w:spacing w:after="60"/>
      </w:pPr>
      <w:r>
        <w:rPr>
          <w:b/>
        </w:rPr>
        <w:t>Rampas.</w:t>
      </w:r>
      <w:r>
        <w:t xml:space="preserve"> El modelo acierta la dirección de los cambios intradía mejor que su magnitud; el error se concentra en las horas de rampa (MAE ~117 COP/kWh en esas horas).</w:t>
      </w:r>
    </w:p>
    <w:p>
      <w:pPr>
        <w:pStyle w:val="ListBullet"/>
        <w:spacing w:after="60"/>
      </w:pPr>
      <w:r>
        <w:rPr>
          <w:b/>
        </w:rPr>
        <w:t>Picos y desplomes a 2 y 3 días.</w:t>
      </w:r>
      <w:r>
        <w:t xml:space="preserve"> Solo el detector de pico supera a la climatología en esos días, y no en todos los años; el de desplome no se publica.</w:t>
      </w:r>
    </w:p>
    <w:p>
      <w:pPr>
        <w:pStyle w:val="Heading1"/>
      </w:pPr>
      <w:r>
        <w:t>13. Glosario</w:t>
      </w:r>
    </w:p>
    <w:p>
      <w:pPr>
        <w:keepNext/>
        <w:spacing w:after="60"/>
      </w:pPr>
      <w:r>
        <w:rPr>
          <w:b/>
          <w:color w:val="1F4E79"/>
          <w:sz w:val="20"/>
        </w:rPr>
        <w:t>Tabla 25. Términos usados en el documento</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2466"/>
            <w:shd w:val="clear" w:color="auto" w:fill="1F4E79"/>
          </w:tcPr>
          <w:p>
            <w:pPr>
              <w:spacing w:after="20" w:line="240" w:lineRule="auto"/>
            </w:pPr>
            <w:r>
              <w:rPr>
                <w:b/>
                <w:color w:val="FFFFFF"/>
                <w:sz w:val="18"/>
              </w:rPr>
              <w:t>Término</w:t>
            </w:r>
          </w:p>
        </w:tc>
        <w:tc>
          <w:tcPr>
            <w:tcW w:type="dxa" w:w="7166"/>
            <w:shd w:val="clear" w:color="auto" w:fill="1F4E79"/>
          </w:tcPr>
          <w:p>
            <w:pPr>
              <w:spacing w:after="20" w:line="240" w:lineRule="auto"/>
            </w:pPr>
            <w:r>
              <w:rPr>
                <w:b/>
                <w:color w:val="FFFFFF"/>
                <w:sz w:val="18"/>
              </w:rPr>
              <w:t>Significado</w:t>
            </w:r>
          </w:p>
        </w:tc>
      </w:tr>
      <w:tr>
        <w:tc>
          <w:tcPr>
            <w:tcW w:type="dxa" w:w="2466"/>
          </w:tcPr>
          <w:p>
            <w:pPr>
              <w:spacing w:after="20" w:line="240" w:lineRule="auto"/>
            </w:pPr>
            <w:r>
              <w:rPr>
                <w:sz w:val="18"/>
              </w:rPr>
              <w:t>Bolsa de energía</w:t>
            </w:r>
          </w:p>
        </w:tc>
        <w:tc>
          <w:tcPr>
            <w:tcW w:type="dxa" w:w="7166"/>
          </w:tcPr>
          <w:p>
            <w:pPr>
              <w:spacing w:after="20" w:line="240" w:lineRule="auto"/>
            </w:pPr>
            <w:r>
              <w:rPr>
                <w:sz w:val="18"/>
              </w:rPr>
              <w:t>Mercado de corto plazo donde se transa la energía no cubierta por contratos bilaterales</w:t>
            </w:r>
          </w:p>
        </w:tc>
      </w:tr>
      <w:tr>
        <w:tc>
          <w:tcPr>
            <w:tcW w:type="dxa" w:w="2466"/>
            <w:shd w:val="clear" w:color="auto" w:fill="F3F6FA"/>
          </w:tcPr>
          <w:p>
            <w:pPr>
              <w:spacing w:after="20" w:line="240" w:lineRule="auto"/>
            </w:pPr>
            <w:r>
              <w:rPr>
                <w:sz w:val="18"/>
              </w:rPr>
              <w:t>PBN</w:t>
            </w:r>
          </w:p>
        </w:tc>
        <w:tc>
          <w:tcPr>
            <w:tcW w:type="dxa" w:w="7166"/>
            <w:shd w:val="clear" w:color="auto" w:fill="F3F6FA"/>
          </w:tcPr>
          <w:p>
            <w:pPr>
              <w:spacing w:after="20" w:line="240" w:lineRule="auto"/>
            </w:pPr>
            <w:r>
              <w:rPr>
                <w:sz w:val="18"/>
              </w:rPr>
              <w:t>Precio de bolsa nacional: el precio horario que publica XM y que pronostica Augur</w:t>
            </w:r>
          </w:p>
        </w:tc>
      </w:tr>
      <w:tr>
        <w:tc>
          <w:tcPr>
            <w:tcW w:type="dxa" w:w="2466"/>
          </w:tcPr>
          <w:p>
            <w:pPr>
              <w:spacing w:after="20" w:line="240" w:lineRule="auto"/>
            </w:pPr>
            <w:r>
              <w:rPr>
                <w:sz w:val="18"/>
              </w:rPr>
              <w:t>PTB</w:t>
            </w:r>
          </w:p>
        </w:tc>
        <w:tc>
          <w:tcPr>
            <w:tcW w:type="dxa" w:w="7166"/>
          </w:tcPr>
          <w:p>
            <w:pPr>
              <w:spacing w:after="20" w:line="240" w:lineRule="auto"/>
            </w:pPr>
            <w:r>
              <w:rPr>
                <w:sz w:val="18"/>
              </w:rPr>
              <w:t>Precio de transacciones en bolsa, con el que se liquida; puede ser menor que el PBN en escasez</w:t>
            </w:r>
          </w:p>
        </w:tc>
      </w:tr>
      <w:tr>
        <w:tc>
          <w:tcPr>
            <w:tcW w:type="dxa" w:w="2466"/>
            <w:shd w:val="clear" w:color="auto" w:fill="F3F6FA"/>
          </w:tcPr>
          <w:p>
            <w:pPr>
              <w:spacing w:after="20" w:line="240" w:lineRule="auto"/>
            </w:pPr>
            <w:r>
              <w:rPr>
                <w:sz w:val="18"/>
              </w:rPr>
              <w:t>MPO</w:t>
            </w:r>
          </w:p>
        </w:tc>
        <w:tc>
          <w:tcPr>
            <w:tcW w:type="dxa" w:w="7166"/>
            <w:shd w:val="clear" w:color="auto" w:fill="F3F6FA"/>
          </w:tcPr>
          <w:p>
            <w:pPr>
              <w:spacing w:after="20" w:line="240" w:lineRule="auto"/>
            </w:pPr>
            <w:r>
              <w:rPr>
                <w:sz w:val="18"/>
              </w:rPr>
              <w:t>Máximo precio de oferta de las plantas despachadas en el despacho ideal</w:t>
            </w:r>
          </w:p>
        </w:tc>
      </w:tr>
      <w:tr>
        <w:tc>
          <w:tcPr>
            <w:tcW w:type="dxa" w:w="2466"/>
          </w:tcPr>
          <w:p>
            <w:pPr>
              <w:spacing w:after="20" w:line="240" w:lineRule="auto"/>
            </w:pPr>
            <w:r>
              <w:rPr>
                <w:sz w:val="18"/>
              </w:rPr>
              <w:t>Predespacho ideal</w:t>
            </w:r>
          </w:p>
        </w:tc>
        <w:tc>
          <w:tcPr>
            <w:tcW w:type="dxa" w:w="7166"/>
          </w:tcPr>
          <w:p>
            <w:pPr>
              <w:spacing w:after="20" w:line="240" w:lineRule="auto"/>
            </w:pPr>
            <w:r>
              <w:rPr>
                <w:sz w:val="18"/>
              </w:rPr>
              <w:t>Despacho que XM calcula el día anterior con la demanda pronosticada (archivo iMAR)</w:t>
            </w:r>
          </w:p>
        </w:tc>
      </w:tr>
      <w:tr>
        <w:tc>
          <w:tcPr>
            <w:tcW w:type="dxa" w:w="2466"/>
            <w:shd w:val="clear" w:color="auto" w:fill="F3F6FA"/>
          </w:tcPr>
          <w:p>
            <w:pPr>
              <w:spacing w:after="20" w:line="240" w:lineRule="auto"/>
            </w:pPr>
            <w:r>
              <w:rPr>
                <w:sz w:val="18"/>
              </w:rPr>
              <w:t>Despacho programado</w:t>
            </w:r>
          </w:p>
        </w:tc>
        <w:tc>
          <w:tcPr>
            <w:tcW w:type="dxa" w:w="7166"/>
            <w:shd w:val="clear" w:color="auto" w:fill="F3F6FA"/>
          </w:tcPr>
          <w:p>
            <w:pPr>
              <w:spacing w:after="20" w:line="240" w:lineRule="auto"/>
            </w:pPr>
            <w:r>
              <w:rPr>
                <w:sz w:val="18"/>
              </w:rPr>
              <w:t>Despacho con restricciones de red que XM publica D-1 ~14:30 (dMAR, dDEM)</w:t>
            </w:r>
          </w:p>
        </w:tc>
      </w:tr>
      <w:tr>
        <w:tc>
          <w:tcPr>
            <w:tcW w:type="dxa" w:w="2466"/>
          </w:tcPr>
          <w:p>
            <w:pPr>
              <w:spacing w:after="20" w:line="240" w:lineRule="auto"/>
            </w:pPr>
            <w:r>
              <w:rPr>
                <w:sz w:val="18"/>
              </w:rPr>
              <w:t>Corte</w:t>
            </w:r>
          </w:p>
        </w:tc>
        <w:tc>
          <w:tcPr>
            <w:tcW w:type="dxa" w:w="7166"/>
          </w:tcPr>
          <w:p>
            <w:pPr>
              <w:spacing w:after="20" w:line="240" w:lineRule="auto"/>
            </w:pPr>
            <w:r>
              <w:rPr>
                <w:sz w:val="18"/>
              </w:rPr>
              <w:t>Momento en que se hace el pronóstico: 00:00 del día pronosticado</w:t>
            </w:r>
          </w:p>
        </w:tc>
      </w:tr>
      <w:tr>
        <w:tc>
          <w:tcPr>
            <w:tcW w:type="dxa" w:w="2466"/>
            <w:shd w:val="clear" w:color="auto" w:fill="F3F6FA"/>
          </w:tcPr>
          <w:p>
            <w:pPr>
              <w:spacing w:after="20" w:line="240" w:lineRule="auto"/>
            </w:pPr>
            <w:r>
              <w:rPr>
                <w:sz w:val="18"/>
              </w:rPr>
              <w:t>Persistencia</w:t>
            </w:r>
          </w:p>
        </w:tc>
        <w:tc>
          <w:tcPr>
            <w:tcW w:type="dxa" w:w="7166"/>
            <w:shd w:val="clear" w:color="auto" w:fill="F3F6FA"/>
          </w:tcPr>
          <w:p>
            <w:pPr>
              <w:spacing w:after="20" w:line="240" w:lineRule="auto"/>
            </w:pPr>
            <w:r>
              <w:rPr>
                <w:sz w:val="18"/>
              </w:rPr>
              <w:t>Pronóstico ingenuo que repite el último precio publicado de la misma hora</w:t>
            </w:r>
          </w:p>
        </w:tc>
      </w:tr>
      <w:tr>
        <w:tc>
          <w:tcPr>
            <w:tcW w:type="dxa" w:w="2466"/>
          </w:tcPr>
          <w:p>
            <w:pPr>
              <w:spacing w:after="20" w:line="240" w:lineRule="auto"/>
            </w:pPr>
            <w:r>
              <w:rPr>
                <w:sz w:val="18"/>
              </w:rPr>
              <w:t>CatBoost</w:t>
            </w:r>
          </w:p>
        </w:tc>
        <w:tc>
          <w:tcPr>
            <w:tcW w:type="dxa" w:w="7166"/>
          </w:tcPr>
          <w:p>
            <w:pPr>
              <w:spacing w:after="20" w:line="240" w:lineRule="auto"/>
            </w:pPr>
            <w:r>
              <w:rPr>
                <w:sz w:val="18"/>
              </w:rPr>
              <w:t>Modelo de árboles de decisión potenciados (gradient boosting)</w:t>
            </w:r>
          </w:p>
        </w:tc>
      </w:tr>
      <w:tr>
        <w:tc>
          <w:tcPr>
            <w:tcW w:type="dxa" w:w="2466"/>
            <w:shd w:val="clear" w:color="auto" w:fill="F3F6FA"/>
          </w:tcPr>
          <w:p>
            <w:pPr>
              <w:spacing w:after="20" w:line="240" w:lineRule="auto"/>
            </w:pPr>
            <w:r>
              <w:rPr>
                <w:sz w:val="18"/>
              </w:rPr>
              <w:t>QRA</w:t>
            </w:r>
          </w:p>
        </w:tc>
        <w:tc>
          <w:tcPr>
            <w:tcW w:type="dxa" w:w="7166"/>
            <w:shd w:val="clear" w:color="auto" w:fill="F3F6FA"/>
          </w:tcPr>
          <w:p>
            <w:pPr>
              <w:spacing w:after="20" w:line="240" w:lineRule="auto"/>
            </w:pPr>
            <w:r>
              <w:rPr>
                <w:sz w:val="18"/>
              </w:rPr>
              <w:t>Combinación de pronósticos por regresión cuantílica</w:t>
            </w:r>
          </w:p>
        </w:tc>
      </w:tr>
      <w:tr>
        <w:tc>
          <w:tcPr>
            <w:tcW w:type="dxa" w:w="2466"/>
          </w:tcPr>
          <w:p>
            <w:pPr>
              <w:spacing w:after="20" w:line="240" w:lineRule="auto"/>
            </w:pPr>
            <w:r>
              <w:rPr>
                <w:sz w:val="18"/>
              </w:rPr>
              <w:t>Banda conforme</w:t>
            </w:r>
          </w:p>
        </w:tc>
        <w:tc>
          <w:tcPr>
            <w:tcW w:type="dxa" w:w="7166"/>
          </w:tcPr>
          <w:p>
            <w:pPr>
              <w:spacing w:after="20" w:line="240" w:lineRule="auto"/>
            </w:pPr>
            <w:r>
              <w:rPr>
                <w:sz w:val="18"/>
              </w:rPr>
              <w:t>Intervalo calibrado con los errores recientes, sin suponer una distribución</w:t>
            </w:r>
          </w:p>
        </w:tc>
      </w:tr>
      <w:tr>
        <w:tc>
          <w:tcPr>
            <w:tcW w:type="dxa" w:w="2466"/>
            <w:shd w:val="clear" w:color="auto" w:fill="F3F6FA"/>
          </w:tcPr>
          <w:p>
            <w:pPr>
              <w:spacing w:after="20" w:line="240" w:lineRule="auto"/>
            </w:pPr>
            <w:r>
              <w:rPr>
                <w:sz w:val="18"/>
              </w:rPr>
              <w:t>q10, q50, q90</w:t>
            </w:r>
          </w:p>
        </w:tc>
        <w:tc>
          <w:tcPr>
            <w:tcW w:type="dxa" w:w="7166"/>
            <w:shd w:val="clear" w:color="auto" w:fill="F3F6FA"/>
          </w:tcPr>
          <w:p>
            <w:pPr>
              <w:spacing w:after="20" w:line="240" w:lineRule="auto"/>
            </w:pPr>
            <w:r>
              <w:rPr>
                <w:sz w:val="18"/>
              </w:rPr>
              <w:t>Percentiles 10, 50 (mediana) y 90 del pronóstico</w:t>
            </w:r>
          </w:p>
        </w:tc>
      </w:tr>
      <w:tr>
        <w:tc>
          <w:tcPr>
            <w:tcW w:type="dxa" w:w="2466"/>
          </w:tcPr>
          <w:p>
            <w:pPr>
              <w:spacing w:after="20" w:line="240" w:lineRule="auto"/>
            </w:pPr>
            <w:r>
              <w:rPr>
                <w:sz w:val="18"/>
              </w:rPr>
              <w:t>ONI</w:t>
            </w:r>
          </w:p>
        </w:tc>
        <w:tc>
          <w:tcPr>
            <w:tcW w:type="dxa" w:w="7166"/>
          </w:tcPr>
          <w:p>
            <w:pPr>
              <w:spacing w:after="20" w:line="240" w:lineRule="auto"/>
            </w:pPr>
            <w:r>
              <w:rPr>
                <w:sz w:val="18"/>
              </w:rPr>
              <w:t>Índice Oceánico El Niño de la NOAA; positivo = El Niño, negativo = La Niña</w:t>
            </w:r>
          </w:p>
        </w:tc>
      </w:tr>
      <w:tr>
        <w:tc>
          <w:tcPr>
            <w:tcW w:type="dxa" w:w="2466"/>
            <w:shd w:val="clear" w:color="auto" w:fill="F3F6FA"/>
          </w:tcPr>
          <w:p>
            <w:pPr>
              <w:spacing w:after="20" w:line="240" w:lineRule="auto"/>
            </w:pPr>
            <w:r>
              <w:rPr>
                <w:sz w:val="18"/>
              </w:rPr>
              <w:t>Walk-forward</w:t>
            </w:r>
          </w:p>
        </w:tc>
        <w:tc>
          <w:tcPr>
            <w:tcW w:type="dxa" w:w="7166"/>
            <w:shd w:val="clear" w:color="auto" w:fill="F3F6FA"/>
          </w:tcPr>
          <w:p>
            <w:pPr>
              <w:spacing w:after="20" w:line="240" w:lineRule="auto"/>
            </w:pPr>
            <w:r>
              <w:rPr>
                <w:sz w:val="18"/>
              </w:rPr>
              <w:t>Validación que entrena con el pasado y prueba con el periodo siguiente, avanzando en el tiempo</w:t>
            </w:r>
          </w:p>
        </w:tc>
      </w:tr>
      <w:tr>
        <w:tc>
          <w:tcPr>
            <w:tcW w:type="dxa" w:w="2466"/>
          </w:tcPr>
          <w:p>
            <w:pPr>
              <w:spacing w:after="20" w:line="240" w:lineRule="auto"/>
            </w:pPr>
            <w:r>
              <w:rPr>
                <w:sz w:val="18"/>
              </w:rPr>
              <w:t>SIN</w:t>
            </w:r>
          </w:p>
        </w:tc>
        <w:tc>
          <w:tcPr>
            <w:tcW w:type="dxa" w:w="7166"/>
          </w:tcPr>
          <w:p>
            <w:pPr>
              <w:spacing w:after="20" w:line="240" w:lineRule="auto"/>
            </w:pPr>
            <w:r>
              <w:rPr>
                <w:sz w:val="18"/>
              </w:rPr>
              <w:t>Sistema Interconectado Nacional</w:t>
            </w:r>
          </w:p>
        </w:tc>
      </w:tr>
      <w:tr>
        <w:tc>
          <w:tcPr>
            <w:tcW w:type="dxa" w:w="2466"/>
            <w:shd w:val="clear" w:color="auto" w:fill="F3F6FA"/>
          </w:tcPr>
          <w:p>
            <w:pPr>
              <w:spacing w:after="20" w:line="240" w:lineRule="auto"/>
            </w:pPr>
            <w:r>
              <w:rPr>
                <w:sz w:val="18"/>
              </w:rPr>
              <w:t>CREG</w:t>
            </w:r>
          </w:p>
        </w:tc>
        <w:tc>
          <w:tcPr>
            <w:tcW w:type="dxa" w:w="7166"/>
            <w:shd w:val="clear" w:color="auto" w:fill="F3F6FA"/>
          </w:tcPr>
          <w:p>
            <w:pPr>
              <w:spacing w:after="20" w:line="240" w:lineRule="auto"/>
            </w:pPr>
            <w:r>
              <w:rPr>
                <w:sz w:val="18"/>
              </w:rPr>
              <w:t>Comisión de Regulación de Energía y Gas</w:t>
            </w:r>
          </w:p>
        </w:tc>
      </w:tr>
    </w:tbl>
    <w:p>
      <w:pPr>
        <w:spacing w:after="0"/>
      </w:pPr>
    </w:p>
    <w:sectPr w:rsidR="00FC693F" w:rsidRPr="0006063C" w:rsidSect="00034616">
      <w:footerReference w:type="default" r:id="rId13"/>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Augur · funcionamiento del sistema · página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