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EE268" w14:textId="77777777" w:rsidR="00764D11" w:rsidRDefault="00000000">
      <w:pPr>
        <w:spacing w:before="800"/>
        <w:jc w:val="center"/>
      </w:pPr>
      <w:r>
        <w:rPr>
          <w:b/>
          <w:color w:val="1F4E79"/>
          <w:sz w:val="48"/>
        </w:rPr>
        <w:t>Informe de Diseño (documento de trabajo)</w:t>
      </w:r>
    </w:p>
    <w:p w14:paraId="1D70776A" w14:textId="77777777" w:rsidR="00764D11" w:rsidRDefault="00000000">
      <w:pPr>
        <w:jc w:val="center"/>
      </w:pPr>
      <w:r>
        <w:rPr>
          <w:i/>
          <w:color w:val="444444"/>
          <w:sz w:val="28"/>
        </w:rPr>
        <w:t>Justificación detallada de cada decisión — Motor de Decisión y Dashboard (OE3)</w:t>
      </w:r>
    </w:p>
    <w:p w14:paraId="7EA1E9DB" w14:textId="77777777" w:rsidR="00764D11" w:rsidRDefault="00000000">
      <w:pPr>
        <w:spacing w:before="400"/>
        <w:jc w:val="center"/>
      </w:pPr>
      <w:r>
        <w:rPr>
          <w:b/>
          <w:color w:val="B91C1C"/>
        </w:rPr>
        <w:t>⚠ Este documento es un insumo de trabajo interno para el equipo, NO el informe formal que se entregará a los asesores. Su único propósito es auditar el rigor de cada decisión numérica y de diseño tomada hasta ahora, y señalar explícitamente cuáles tienen respaldo de literatura, cuáles solo validación empírica interna, y cuáles son heurísticas sin fuente clara que conviene investigar antes de defender el proyecto formalmente.</w:t>
      </w:r>
    </w:p>
    <w:p w14:paraId="24957A49" w14:textId="77777777" w:rsidR="00764D11" w:rsidRDefault="00000000">
      <w:pPr>
        <w:spacing w:before="600"/>
        <w:jc w:val="center"/>
      </w:pPr>
      <w:r>
        <w:rPr>
          <w:color w:val="444444"/>
        </w:rPr>
        <w:t>Proyecto final — Depto. de Ingeniería Eléctrica y Electrónica</w:t>
      </w:r>
      <w:r>
        <w:rPr>
          <w:color w:val="444444"/>
        </w:rPr>
        <w:br/>
        <w:t>Universidad del Norte</w:t>
      </w:r>
      <w:r>
        <w:rPr>
          <w:color w:val="444444"/>
        </w:rPr>
        <w:br/>
      </w:r>
      <w:r>
        <w:rPr>
          <w:color w:val="444444"/>
        </w:rPr>
        <w:br/>
        <w:t>Equipo: Juan David Barceló Barraza, Rafael Andrés Dede Perdomo</w:t>
      </w:r>
      <w:r>
        <w:rPr>
          <w:color w:val="444444"/>
        </w:rPr>
        <w:br/>
        <w:t>Asesores: José Daniel Soto Ortiz, Daniela María Charris Stand</w:t>
      </w:r>
      <w:r>
        <w:rPr>
          <w:color w:val="444444"/>
        </w:rPr>
        <w:br/>
      </w:r>
      <w:r>
        <w:rPr>
          <w:color w:val="444444"/>
        </w:rPr>
        <w:br/>
        <w:t>Fecha de corte: 24 de septiembre de 2026</w:t>
      </w:r>
    </w:p>
    <w:p w14:paraId="15810296" w14:textId="77777777" w:rsidR="00764D11" w:rsidRDefault="00000000">
      <w:r>
        <w:br w:type="page"/>
      </w:r>
    </w:p>
    <w:p w14:paraId="114CF396" w14:textId="77777777" w:rsidR="00764D11" w:rsidRDefault="00000000">
      <w:pPr>
        <w:pStyle w:val="Ttulo1"/>
      </w:pPr>
      <w:r>
        <w:rPr>
          <w:color w:val="1F4E79"/>
        </w:rPr>
        <w:lastRenderedPageBreak/>
        <w:t>0. Cómo leer este informe</w:t>
      </w:r>
    </w:p>
    <w:p w14:paraId="502972B8" w14:textId="77777777" w:rsidR="00764D11" w:rsidRDefault="00000000">
      <w:r>
        <w:t>Cada decisión importante (numérica o de diseño) se documenta con el mismo formato: qué se decidió exactamente, por qué, y un semáforo de evidencia con tres estados posibles:</w:t>
      </w:r>
    </w:p>
    <w:tbl>
      <w:tblPr>
        <w:tblStyle w:val="Cuadrculaclara-nfasis1"/>
        <w:tblW w:w="0" w:type="auto"/>
        <w:jc w:val="center"/>
        <w:tblLook w:val="04A0" w:firstRow="1" w:lastRow="0" w:firstColumn="1" w:lastColumn="0" w:noHBand="0" w:noVBand="1"/>
      </w:tblPr>
      <w:tblGrid>
        <w:gridCol w:w="3211"/>
        <w:gridCol w:w="3211"/>
        <w:gridCol w:w="3211"/>
      </w:tblGrid>
      <w:tr w:rsidR="00764D11" w14:paraId="54635819" w14:textId="77777777" w:rsidTr="00764D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shd w:val="clear" w:color="auto" w:fill="1F4E79"/>
          </w:tcPr>
          <w:p w14:paraId="6122E3A5" w14:textId="77777777" w:rsidR="00764D11" w:rsidRDefault="00000000">
            <w:r>
              <w:rPr>
                <w:color w:val="FFFFFF"/>
              </w:rPr>
              <w:t>Etiqueta</w:t>
            </w:r>
          </w:p>
        </w:tc>
        <w:tc>
          <w:tcPr>
            <w:tcW w:w="3211" w:type="dxa"/>
            <w:shd w:val="clear" w:color="auto" w:fill="1F4E79"/>
          </w:tcPr>
          <w:p w14:paraId="128412E0" w14:textId="77777777" w:rsidR="00764D11" w:rsidRDefault="00000000">
            <w:pPr>
              <w:cnfStyle w:val="100000000000" w:firstRow="1" w:lastRow="0" w:firstColumn="0" w:lastColumn="0" w:oddVBand="0" w:evenVBand="0" w:oddHBand="0" w:evenHBand="0" w:firstRowFirstColumn="0" w:firstRowLastColumn="0" w:lastRowFirstColumn="0" w:lastRowLastColumn="0"/>
            </w:pPr>
            <w:r>
              <w:rPr>
                <w:color w:val="FFFFFF"/>
              </w:rPr>
              <w:t>Qué significa</w:t>
            </w:r>
          </w:p>
        </w:tc>
        <w:tc>
          <w:tcPr>
            <w:tcW w:w="3211" w:type="dxa"/>
            <w:shd w:val="clear" w:color="auto" w:fill="1F4E79"/>
          </w:tcPr>
          <w:p w14:paraId="6FD4DE5C" w14:textId="77777777" w:rsidR="00764D11" w:rsidRDefault="00000000">
            <w:pPr>
              <w:cnfStyle w:val="100000000000" w:firstRow="1" w:lastRow="0" w:firstColumn="0" w:lastColumn="0" w:oddVBand="0" w:evenVBand="0" w:oddHBand="0" w:evenHBand="0" w:firstRowFirstColumn="0" w:firstRowLastColumn="0" w:lastRowFirstColumn="0" w:lastRowLastColumn="0"/>
            </w:pPr>
            <w:r>
              <w:rPr>
                <w:color w:val="FFFFFF"/>
              </w:rPr>
              <w:t>Qué implica para la entrega final</w:t>
            </w:r>
          </w:p>
        </w:tc>
      </w:tr>
      <w:tr w:rsidR="00764D11" w14:paraId="2D700DAA"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0237877C" w14:textId="77777777" w:rsidR="00764D11" w:rsidRDefault="00000000">
            <w:r>
              <w:t>RESPALDADO POR LITERATURA CITADA</w:t>
            </w:r>
          </w:p>
        </w:tc>
        <w:tc>
          <w:tcPr>
            <w:tcW w:w="3211" w:type="dxa"/>
          </w:tcPr>
          <w:p w14:paraId="27554FB4" w14:textId="77777777" w:rsidR="00764D11" w:rsidRDefault="00000000">
            <w:pPr>
              <w:cnfStyle w:val="000000100000" w:firstRow="0" w:lastRow="0" w:firstColumn="0" w:lastColumn="0" w:oddVBand="0" w:evenVBand="0" w:oddHBand="1" w:evenHBand="0" w:firstRowFirstColumn="0" w:firstRowLastColumn="0" w:lastRowFirstColumn="0" w:lastRowLastColumn="0"/>
            </w:pPr>
            <w:r>
              <w:t>Existe un paper, libro o método reconocido que justifica directamente esta elección, y el proyecto ya lo cita en algún lugar (README, notebooks).</w:t>
            </w:r>
          </w:p>
        </w:tc>
        <w:tc>
          <w:tcPr>
            <w:tcW w:w="3211" w:type="dxa"/>
          </w:tcPr>
          <w:p w14:paraId="0EDF73F4" w14:textId="77777777" w:rsidR="00764D11" w:rsidRDefault="00000000">
            <w:pPr>
              <w:cnfStyle w:val="000000100000" w:firstRow="0" w:lastRow="0" w:firstColumn="0" w:lastColumn="0" w:oddVBand="0" w:evenVBand="0" w:oddHBand="1" w:evenHBand="0" w:firstRowFirstColumn="0" w:firstRowLastColumn="0" w:lastRowFirstColumn="0" w:lastRowLastColumn="0"/>
            </w:pPr>
            <w:r>
              <w:t>Se puede defender ante los asesores citando la fuente. Verificar que la cita quede explícita en el documento final.</w:t>
            </w:r>
          </w:p>
        </w:tc>
      </w:tr>
      <w:tr w:rsidR="00764D11" w14:paraId="71630EBC"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3EC90B2C" w14:textId="77777777" w:rsidR="00764D11" w:rsidRDefault="00000000">
            <w:r>
              <w:t>VALIDADO DENTRO DEL PROYECTO (sin cita externa)</w:t>
            </w:r>
          </w:p>
        </w:tc>
        <w:tc>
          <w:tcPr>
            <w:tcW w:w="3211" w:type="dxa"/>
          </w:tcPr>
          <w:p w14:paraId="41BE7DB6" w14:textId="77777777" w:rsidR="00764D11" w:rsidRDefault="00000000">
            <w:pPr>
              <w:cnfStyle w:val="000000010000" w:firstRow="0" w:lastRow="0" w:firstColumn="0" w:lastColumn="0" w:oddVBand="0" w:evenVBand="0" w:oddHBand="0" w:evenHBand="1" w:firstRowFirstColumn="0" w:firstRowLastColumn="0" w:lastRowFirstColumn="0" w:lastRowLastColumn="0"/>
            </w:pPr>
            <w:r>
              <w:t>No hay un paper citado para el valor exacto, pero el propio proyecto lo probó empíricamente (ablación, backtest, comparación con alternativas) y el resultado respalda la elección.</w:t>
            </w:r>
          </w:p>
        </w:tc>
        <w:tc>
          <w:tcPr>
            <w:tcW w:w="3211" w:type="dxa"/>
          </w:tcPr>
          <w:p w14:paraId="43E98A15" w14:textId="77777777" w:rsidR="00764D11" w:rsidRDefault="00000000">
            <w:pPr>
              <w:cnfStyle w:val="000000010000" w:firstRow="0" w:lastRow="0" w:firstColumn="0" w:lastColumn="0" w:oddVBand="0" w:evenVBand="0" w:oddHBand="0" w:evenHBand="1" w:firstRowFirstColumn="0" w:firstRowLastColumn="0" w:lastRowFirstColumn="0" w:lastRowLastColumn="0"/>
            </w:pPr>
            <w:r>
              <w:t>Defendible con los propios resultados del proyecto como evidencia — mencionar el experimento, no solo la conclusión.</w:t>
            </w:r>
          </w:p>
        </w:tc>
      </w:tr>
      <w:tr w:rsidR="00764D11" w14:paraId="46A7A5CE"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00392A9A" w14:textId="77777777" w:rsidR="00764D11" w:rsidRDefault="00000000">
            <w:r>
              <w:t>SIN RESPALDO CLARO -- REVISAR ANTES DE LA ENTREGA FINAL</w:t>
            </w:r>
          </w:p>
        </w:tc>
        <w:tc>
          <w:tcPr>
            <w:tcW w:w="3211" w:type="dxa"/>
          </w:tcPr>
          <w:p w14:paraId="2C24036E" w14:textId="77777777" w:rsidR="00764D11" w:rsidRDefault="00000000">
            <w:pPr>
              <w:cnfStyle w:val="000000100000" w:firstRow="0" w:lastRow="0" w:firstColumn="0" w:lastColumn="0" w:oddVBand="0" w:evenVBand="0" w:oddHBand="1" w:evenHBand="0" w:firstRowFirstColumn="0" w:firstRowLastColumn="0" w:lastRowFirstColumn="0" w:lastRowLastColumn="0"/>
            </w:pPr>
            <w:r>
              <w:t>El valor se escogió por criterio de ingeniería/convención razonable, sin una prueba interna dedicada ni una cita externa específica para ESE valor exacto.</w:t>
            </w:r>
          </w:p>
        </w:tc>
        <w:tc>
          <w:tcPr>
            <w:tcW w:w="3211" w:type="dxa"/>
          </w:tcPr>
          <w:p w14:paraId="7CA45040" w14:textId="77777777" w:rsidR="00764D11" w:rsidRDefault="00000000">
            <w:pPr>
              <w:cnfStyle w:val="000000100000" w:firstRow="0" w:lastRow="0" w:firstColumn="0" w:lastColumn="0" w:oddVBand="0" w:evenVBand="0" w:oddHBand="1" w:evenHBand="0" w:firstRowFirstColumn="0" w:firstRowLastColumn="0" w:lastRowFirstColumn="0" w:lastRowLastColumn="0"/>
            </w:pPr>
            <w:r>
              <w:t>Riesgo real si un asesor pregunta “¿por qué ese número y no otro?”. Se debe o (a) investigar y citar una fuente, o (b) correr una prueba de sensibilidad propia, o (c) reconocerlo abiertamente como una elección de diseño razonable pero no optimizada.</w:t>
            </w:r>
          </w:p>
        </w:tc>
      </w:tr>
    </w:tbl>
    <w:p w14:paraId="2890A1BC" w14:textId="77777777" w:rsidR="00764D11" w:rsidRDefault="00764D11"/>
    <w:p w14:paraId="4F99713A" w14:textId="77777777" w:rsidR="00764D11" w:rsidRDefault="00000000">
      <w:pPr>
        <w:ind w:left="283"/>
      </w:pPr>
      <w:r>
        <w:rPr>
          <w:b/>
          <w:color w:val="B45309"/>
        </w:rPr>
        <w:t xml:space="preserve">Aclaración importante: </w:t>
      </w:r>
      <w:r>
        <w:rPr>
          <w:i/>
        </w:rPr>
        <w:t>una etiqueta ‘SIN RESPALDO’ no significa que la decisión esté mal — muchas heurísticas razonables (percentil 25/75, ventana de 30 días) son estándares de facto en la práctica de análisis de datos. Significa que, si se defiende el proyecto formalmente, conviene tener lista una respuesta mejor que “nos pareció razonable”.</w:t>
      </w:r>
    </w:p>
    <w:p w14:paraId="4C99A64C" w14:textId="77777777" w:rsidR="00764D11" w:rsidRDefault="00000000">
      <w:pPr>
        <w:pStyle w:val="Ttulo1"/>
      </w:pPr>
      <w:r>
        <w:rPr>
          <w:color w:val="1F4E79"/>
        </w:rPr>
        <w:t>1. Variables y transformaciones que hubo que adaptar en los datasets</w:t>
      </w:r>
    </w:p>
    <w:p w14:paraId="3D8D7E7C" w14:textId="77777777" w:rsidR="00764D11" w:rsidRDefault="00000000">
      <w:pPr>
        <w:spacing w:before="280"/>
      </w:pPr>
      <w:r>
        <w:rPr>
          <w:b/>
          <w:color w:val="1F4E79"/>
          <w:sz w:val="25"/>
        </w:rPr>
        <w:t>1.1 — Sincronización a resolución horaria</w:t>
      </w:r>
    </w:p>
    <w:p w14:paraId="783A42D2" w14:textId="77777777" w:rsidR="00764D11" w:rsidRDefault="00000000">
      <w:r>
        <w:rPr>
          <w:b/>
        </w:rPr>
        <w:t xml:space="preserve">Decisión / valor exacto: </w:t>
      </w:r>
      <w:r>
        <w:t>Todas las fuentes (precio, demanda, generación, embalses, aportes, ONI) se llevan a una sola serie horaria continua, 2019-2026.</w:t>
      </w:r>
    </w:p>
    <w:p w14:paraId="6E226214" w14:textId="77777777" w:rsidR="00764D11" w:rsidRDefault="00000000">
      <w:r>
        <w:rPr>
          <w:b/>
        </w:rPr>
        <w:t xml:space="preserve">Razonamiento: </w:t>
      </w:r>
      <w:r>
        <w:t>El precio de bolsa (la variable a predecir) se liquida por hora en el mercado colombiano; cualquier variable en otra resolución debe convertirse a esa granularidad para poder cruzarse con el precio fila por fila.</w:t>
      </w:r>
    </w:p>
    <w:p w14:paraId="381999C5" w14:textId="77777777" w:rsidR="00764D11" w:rsidRDefault="00000000">
      <w:r>
        <w:rPr>
          <w:b/>
        </w:rPr>
        <w:t xml:space="preserve">■ Estado de la evidencia: </w:t>
      </w:r>
      <w:r>
        <w:rPr>
          <w:b/>
          <w:color w:val="B45309"/>
        </w:rPr>
        <w:t>VALIDADO DENTRO DEL PROYECTO (sin cita externa)</w:t>
      </w:r>
    </w:p>
    <w:p w14:paraId="492CE1D3" w14:textId="77777777" w:rsidR="00764D11" w:rsidRDefault="00000000">
      <w:pPr>
        <w:spacing w:after="80"/>
        <w:ind w:left="227"/>
      </w:pPr>
      <w:r>
        <w:lastRenderedPageBreak/>
        <w:t>Es una necesidad estructural del problema, no una elección discutible — sin esto no hay dataset que entrenar. No requiere cita externa, pero sí quedó validado por consistencia: se verificó numéricamente que el dataset maestro es idéntico (diferencia 0.0) entre las corridas de los notebooks 06/07/08/09 tras cada regeneración.</w:t>
      </w:r>
    </w:p>
    <w:p w14:paraId="59E02B86" w14:textId="77777777" w:rsidR="00764D11" w:rsidRDefault="00764D11"/>
    <w:p w14:paraId="07F2A5A6" w14:textId="77777777" w:rsidR="00764D11" w:rsidRDefault="00000000">
      <w:pPr>
        <w:spacing w:before="280"/>
      </w:pPr>
      <w:r>
        <w:rPr>
          <w:b/>
          <w:color w:val="1F4E79"/>
          <w:sz w:val="25"/>
        </w:rPr>
        <w:t>1.2 — Interpolación lineal de variables diarias de hidrología (antes: escalón/ffill)</w:t>
      </w:r>
    </w:p>
    <w:p w14:paraId="02C98F59" w14:textId="77777777" w:rsidR="00764D11" w:rsidRDefault="00000000">
      <w:r>
        <w:rPr>
          <w:b/>
        </w:rPr>
        <w:t xml:space="preserve">Decisión / valor exacto: </w:t>
      </w:r>
      <w:r>
        <w:t>Embalses y aportes hídricos (reportados por día) se suben a resolución horaria con interpolación lineal entre el valor de un día y el siguiente, en vez de repetir el mismo valor las 24 horas (escalón).</w:t>
      </w:r>
    </w:p>
    <w:p w14:paraId="098D0C19" w14:textId="77777777" w:rsidR="00764D11" w:rsidRDefault="00000000">
      <w:r>
        <w:rPr>
          <w:b/>
        </w:rPr>
        <w:t xml:space="preserve">Razonamiento: </w:t>
      </w:r>
      <w:r>
        <w:t>Un escalón introduce saltos artificiales cada medianoche que no reflejan ningún fenómeno físico real (el nivel de un embalse no cambia de golpe a las 00:00); la interpolación lineal es más fiel a cómo cambia realmente una variable continua entre dos mediciones.</w:t>
      </w:r>
    </w:p>
    <w:p w14:paraId="0315C87F" w14:textId="77777777" w:rsidR="00764D11" w:rsidRDefault="00000000">
      <w:r>
        <w:rPr>
          <w:b/>
        </w:rPr>
        <w:t xml:space="preserve">■ Estado de la evidencia: </w:t>
      </w:r>
      <w:r>
        <w:rPr>
          <w:b/>
          <w:color w:val="B45309"/>
        </w:rPr>
        <w:t>VALIDADO DENTRO DEL PROYECTO (sin cita externa)</w:t>
      </w:r>
    </w:p>
    <w:p w14:paraId="75B95716" w14:textId="77777777" w:rsidR="00764D11" w:rsidRDefault="00000000">
      <w:pPr>
        <w:spacing w:after="80"/>
        <w:ind w:left="227"/>
      </w:pPr>
      <w:r>
        <w:t>Se corrió una ablación factorial 2x2 sobre XGBoost y ARX+GARCH comparando escalón vs. interpolación: la hidrología interpolada mejora el desempeño específicamente en el horizonte de 72h, con efecto casi nulo en la razón de error El Niño/La Niña. Es una mejora medida, no supuesta.</w:t>
      </w:r>
    </w:p>
    <w:p w14:paraId="624EE952" w14:textId="77777777" w:rsidR="00764D11" w:rsidRDefault="00000000">
      <w:pPr>
        <w:ind w:left="227"/>
      </w:pPr>
      <w:r>
        <w:rPr>
          <w:b/>
          <w:color w:val="B91C1C"/>
        </w:rPr>
        <w:t xml:space="preserve">Qué investigar / dónde buscar: </w:t>
      </w:r>
      <w:r>
        <w:rPr>
          <w:i/>
        </w:rPr>
        <w:t>No es urgente investigar más — la validación interna (ablación) es sólida. Si se quisiera una cita metodológica de respaldo, buscar literatura general de interpolación de series de tiempo con submuestreo (‘temporal disaggregation’ / ‘upsampling time series’), pero no es imprescindible.</w:t>
      </w:r>
    </w:p>
    <w:p w14:paraId="0859E242" w14:textId="77777777" w:rsidR="00764D11" w:rsidRDefault="00764D11"/>
    <w:p w14:paraId="7B49ADED" w14:textId="77777777" w:rsidR="00764D11" w:rsidRDefault="00000000">
      <w:pPr>
        <w:spacing w:before="280"/>
      </w:pPr>
      <w:r>
        <w:rPr>
          <w:b/>
          <w:color w:val="1F4E79"/>
          <w:sz w:val="25"/>
        </w:rPr>
        <w:t>1.3 — Rampa causal para el índice ONI (antes: escalón mensual)</w:t>
      </w:r>
    </w:p>
    <w:p w14:paraId="54A266E4" w14:textId="77777777" w:rsidR="00764D11" w:rsidRDefault="00000000">
      <w:r>
        <w:rPr>
          <w:b/>
        </w:rPr>
        <w:t xml:space="preserve">Decisión / valor exacto: </w:t>
      </w:r>
      <w:r>
        <w:t>El ONI (mensual) se sube a resolución horaria con una “rampa”: transición gradual desde el valor del mes anterior hasta el del mes actual, usando SOLO información ya publicada (nunca el mes siguiente).</w:t>
      </w:r>
    </w:p>
    <w:p w14:paraId="7552142A" w14:textId="77777777" w:rsidR="00764D11" w:rsidRDefault="00000000">
      <w:r>
        <w:rPr>
          <w:b/>
        </w:rPr>
        <w:t xml:space="preserve">Razonamiento: </w:t>
      </w:r>
      <w:r>
        <w:t>Igual razón física que 1.2 (evitar saltos artificiales), más una restricción de seguridad: el hueco que la rampa necesita (~1 mes) queda cubierto por el rezago que ya existe en el pipeline, así que no hay fuga de información futura.</w:t>
      </w:r>
    </w:p>
    <w:p w14:paraId="68DC7934" w14:textId="77777777" w:rsidR="00764D11" w:rsidRDefault="00000000">
      <w:r>
        <w:rPr>
          <w:b/>
        </w:rPr>
        <w:t xml:space="preserve">■ Estado de la evidencia: </w:t>
      </w:r>
      <w:r>
        <w:rPr>
          <w:b/>
          <w:color w:val="B45309"/>
        </w:rPr>
        <w:t>VALIDADO DENTRO DEL PROYECTO (sin cita externa)</w:t>
      </w:r>
    </w:p>
    <w:p w14:paraId="6D22BA19" w14:textId="77777777" w:rsidR="00764D11" w:rsidRDefault="00000000">
      <w:pPr>
        <w:spacing w:after="80"/>
        <w:ind w:left="227"/>
      </w:pPr>
      <w:r>
        <w:t xml:space="preserve">Misma ablación factorial de 1.2: el ONI suavizado mejora la estabilidad de régimen (razón de error El Niño/La Niña) y casi no afecta lo demás. </w:t>
      </w:r>
      <w:proofErr w:type="spellStart"/>
      <w:r>
        <w:t>Efecto</w:t>
      </w:r>
      <w:proofErr w:type="spellEnd"/>
      <w:r>
        <w:t xml:space="preserve"> </w:t>
      </w:r>
      <w:proofErr w:type="spellStart"/>
      <w:r>
        <w:t>medido</w:t>
      </w:r>
      <w:proofErr w:type="spellEnd"/>
      <w:r>
        <w:t xml:space="preserve">, no </w:t>
      </w:r>
      <w:proofErr w:type="spellStart"/>
      <w:r>
        <w:t>asumido</w:t>
      </w:r>
      <w:proofErr w:type="spellEnd"/>
      <w:r>
        <w:t>.</w:t>
      </w:r>
    </w:p>
    <w:p w14:paraId="23E3FB16" w14:textId="77777777" w:rsidR="002937D0" w:rsidRDefault="002937D0">
      <w:pPr>
        <w:spacing w:after="80"/>
        <w:ind w:left="227"/>
      </w:pPr>
    </w:p>
    <w:p w14:paraId="175052A4" w14:textId="77777777" w:rsidR="002937D0" w:rsidRDefault="002937D0">
      <w:pPr>
        <w:spacing w:after="80"/>
        <w:ind w:left="227"/>
      </w:pPr>
    </w:p>
    <w:p w14:paraId="684A34BC" w14:textId="77777777" w:rsidR="00764D11" w:rsidRDefault="00764D11"/>
    <w:p w14:paraId="01D6009E" w14:textId="77777777" w:rsidR="00764D11" w:rsidRDefault="00000000">
      <w:pPr>
        <w:spacing w:before="280"/>
      </w:pPr>
      <w:r>
        <w:rPr>
          <w:b/>
          <w:color w:val="1F4E79"/>
          <w:sz w:val="25"/>
        </w:rPr>
        <w:lastRenderedPageBreak/>
        <w:t>1.4 — Exclusión de demanda y generación CONTEMPORÁNEAS como predictoras</w:t>
      </w:r>
    </w:p>
    <w:p w14:paraId="09E26B98" w14:textId="77777777" w:rsidR="00764D11" w:rsidRDefault="00000000">
      <w:r>
        <w:rPr>
          <w:b/>
        </w:rPr>
        <w:t xml:space="preserve">Decisión / valor exacto: </w:t>
      </w:r>
      <w:r>
        <w:t>Solo se usan versiones rezagadas (≥ horizonte de pronóstico) de demanda y generación; los valores del mismo instante que el precio a predecir se excluyen por completo.</w:t>
      </w:r>
    </w:p>
    <w:p w14:paraId="4E46508E" w14:textId="77777777" w:rsidR="00764D11" w:rsidRDefault="00000000">
      <w:r>
        <w:rPr>
          <w:b/>
        </w:rPr>
        <w:t xml:space="preserve">Razonamiento: </w:t>
      </w:r>
      <w:r>
        <w:t>Demanda y generación del mismo momento se determinan en el mismo proceso de despacho que fija el precio de bolsa — usarlas como predictoras sería alimentar al modelo con información que en la práctica no se conoce antes de que el precio ya esté fijado (fuga de datos por simultaneidad, no por tiempo).</w:t>
      </w:r>
    </w:p>
    <w:p w14:paraId="7A8D3A1B" w14:textId="77777777" w:rsidR="00764D11" w:rsidRDefault="00000000">
      <w:r>
        <w:rPr>
          <w:b/>
        </w:rPr>
        <w:t xml:space="preserve">■ Estado de la evidencia: </w:t>
      </w:r>
      <w:r>
        <w:rPr>
          <w:b/>
          <w:color w:val="15803D"/>
        </w:rPr>
        <w:t>RESPALDADO POR LITERATURA CITADA</w:t>
      </w:r>
    </w:p>
    <w:p w14:paraId="16FB0942" w14:textId="77777777" w:rsidR="00764D11" w:rsidRDefault="00000000">
      <w:pPr>
        <w:spacing w:after="80"/>
        <w:ind w:left="227"/>
      </w:pPr>
      <w:r>
        <w:t>Es un principio general y bien establecido en pronóstico de series de tiempo: no usar como predictor una variable determinada en el mismo proceso causal que el objetivo. No es exclusivo de electricidad, pero SÍ está documentado específicamente para mercados eléctricos en la literatura de referencia del área (Weron, 2014, ‘Electricity price forecasting: A review of the state-of-the-art’, International Journal of Forecasting — discute extensamente por qué demanda y generación deben tratarse con cuidado como predictoras). Esta cita NO está actualmente en el README del proyecto — se recomienda agregarla explícitamente si se defiende esta decisión.</w:t>
      </w:r>
    </w:p>
    <w:p w14:paraId="379EEEBC" w14:textId="77777777" w:rsidR="00764D11" w:rsidRDefault="00000000">
      <w:pPr>
        <w:ind w:left="227"/>
      </w:pPr>
      <w:r>
        <w:rPr>
          <w:b/>
          <w:color w:val="B91C1C"/>
        </w:rPr>
        <w:t xml:space="preserve">Qué investigar / dónde buscar: </w:t>
      </w:r>
      <w:r>
        <w:rPr>
          <w:i/>
        </w:rPr>
        <w:t>Confirmar la cita exacta de Weron (2014) y agregarla al README/informe final como respaldo formal de esta decisión metodológica.</w:t>
      </w:r>
    </w:p>
    <w:p w14:paraId="67398041" w14:textId="77777777" w:rsidR="00764D11" w:rsidRDefault="00764D11"/>
    <w:p w14:paraId="23FA3547" w14:textId="77777777" w:rsidR="00764D11" w:rsidRDefault="00000000">
      <w:pPr>
        <w:spacing w:before="280"/>
      </w:pPr>
      <w:r>
        <w:rPr>
          <w:b/>
          <w:color w:val="1F4E79"/>
          <w:sz w:val="25"/>
        </w:rPr>
        <w:t>1.5 — Rezagos de precio elegidos: 24h, 48h, 168h (1 semana) y promedios móviles de 24h/7d</w:t>
      </w:r>
    </w:p>
    <w:p w14:paraId="50DA9B57" w14:textId="77777777" w:rsidR="00764D11" w:rsidRDefault="00000000">
      <w:r>
        <w:rPr>
          <w:b/>
        </w:rPr>
        <w:t xml:space="preserve">Decisión / valor exacto: </w:t>
      </w:r>
      <w:r>
        <w:t>Las features de precio rezagado se construyeron específicamente en esos horizontes, no en otros (ej. no hay lag de 3h, 12h, o 336h/2 semanas).</w:t>
      </w:r>
    </w:p>
    <w:p w14:paraId="6D863B6F" w14:textId="77777777" w:rsidR="00764D11" w:rsidRDefault="00000000">
      <w:r>
        <w:rPr>
          <w:b/>
        </w:rPr>
        <w:t xml:space="preserve">Razonamiento: </w:t>
      </w:r>
      <w:r>
        <w:t>24h refleja el ciclo diario del mercado (mismo bloque horario del día anterior); 168h (7×24) refleja el ciclo semanal (mismo día de la semana). Ambos ciclos son los patrones de estacionalidad más fuertes y mejor documentados en mercados eléctricos.</w:t>
      </w:r>
    </w:p>
    <w:p w14:paraId="51A30191" w14:textId="77777777" w:rsidR="00764D11" w:rsidRDefault="00000000">
      <w:r>
        <w:rPr>
          <w:b/>
        </w:rPr>
        <w:t xml:space="preserve">■ Estado de la evidencia: </w:t>
      </w:r>
      <w:r>
        <w:rPr>
          <w:b/>
          <w:color w:val="15803D"/>
        </w:rPr>
        <w:t>RESPALDADO POR LITERATURA CITADA</w:t>
      </w:r>
    </w:p>
    <w:p w14:paraId="757FF568" w14:textId="77777777" w:rsidR="00764D11" w:rsidRDefault="00000000">
      <w:pPr>
        <w:spacing w:after="80"/>
        <w:ind w:left="227"/>
      </w:pPr>
      <w:r>
        <w:t>La estacionalidad diaria y semanal del precio eléctrico es uno de los hallazgos más replicados en la literatura de pronóstico de precio eléctrico (EPF): Weron (2014, revisión ya citada arriba) y Lago, De Ridder, De Schutter (2021, ‘Forecasting day-ahead electricity prices: A review of state-of-the-art algorithms’, Applied Energy — SÍ citado ya en el README del proyecto para el benchmark LEAR) documentan ambos ciclos como los componentes de estacionalidad dominantes. Además, el proyecto lo confirmó empíricamente: precio_lag24h es la variable más importante por SHAP, permutation importance Y ganancia nativa de LightGBM, de forma consistente entre modelos.</w:t>
      </w:r>
    </w:p>
    <w:p w14:paraId="48F69FE6" w14:textId="77777777" w:rsidR="00764D11" w:rsidRDefault="00764D11"/>
    <w:p w14:paraId="386123FB" w14:textId="77777777" w:rsidR="00764D11" w:rsidRDefault="00000000">
      <w:pPr>
        <w:spacing w:before="280"/>
      </w:pPr>
      <w:r>
        <w:rPr>
          <w:b/>
          <w:color w:val="1F4E79"/>
          <w:sz w:val="25"/>
        </w:rPr>
        <w:t>1.6 — Rezago de ~7 días (168h) elegido específicamente para aportes hídricos</w:t>
      </w:r>
    </w:p>
    <w:p w14:paraId="01AE1D78" w14:textId="77777777" w:rsidR="00764D11" w:rsidRDefault="00000000">
      <w:r>
        <w:rPr>
          <w:b/>
        </w:rPr>
        <w:lastRenderedPageBreak/>
        <w:t xml:space="preserve">Decisión / valor exacto: </w:t>
      </w:r>
      <w:r>
        <w:t>Los aportes hídricos rezagados se usan con un desfase de aproximadamente una semana, no de 24h como el resto de variables.</w:t>
      </w:r>
    </w:p>
    <w:p w14:paraId="0FAD2A70" w14:textId="77777777" w:rsidR="00764D11" w:rsidRDefault="00000000">
      <w:r>
        <w:rPr>
          <w:b/>
        </w:rPr>
        <w:t xml:space="preserve">Razonamiento: </w:t>
      </w:r>
      <w:r>
        <w:t>No fue una elección a priori — se calculó la correlación cruzada entre aportes hídricos y precio en distintos rezagos, y el pico de correlación (-0.316) aparece cerca de los 7 días, no en el instante inmediato.</w:t>
      </w:r>
    </w:p>
    <w:p w14:paraId="0141B3C1" w14:textId="77777777" w:rsidR="00764D11" w:rsidRDefault="00000000">
      <w:r>
        <w:rPr>
          <w:b/>
        </w:rPr>
        <w:t xml:space="preserve">■ Estado de la evidencia: </w:t>
      </w:r>
      <w:r>
        <w:rPr>
          <w:b/>
          <w:color w:val="B45309"/>
        </w:rPr>
        <w:t>VALIDADO DENTRO DEL PROYECTO (sin cita externa)</w:t>
      </w:r>
    </w:p>
    <w:p w14:paraId="5099ABE9" w14:textId="77777777" w:rsidR="00764D11" w:rsidRDefault="00000000">
      <w:pPr>
        <w:spacing w:after="80"/>
        <w:ind w:left="227"/>
      </w:pPr>
      <w:r>
        <w:t>Es el ejemplo más limpio de una decisión tomada por evidencia empírica directa del propio dataset (notebook 03, análisis de correlación cruzada), no por convención ni por una cita externa. No necesita más investigación — la evidencia ya está en el propio proyecto y es metodológicamente sólida (correlación cruzada es la herramienta estándar para esto).</w:t>
      </w:r>
    </w:p>
    <w:p w14:paraId="3264D759" w14:textId="77777777" w:rsidR="00764D11" w:rsidRDefault="00764D11"/>
    <w:p w14:paraId="61A63E22" w14:textId="77777777" w:rsidR="00764D11" w:rsidRDefault="00000000">
      <w:pPr>
        <w:spacing w:before="280"/>
      </w:pPr>
      <w:r>
        <w:rPr>
          <w:b/>
          <w:color w:val="1F4E79"/>
          <w:sz w:val="25"/>
        </w:rPr>
        <w:t>1.7 — Log-transform del precio de bolsa antes de entrenar</w:t>
      </w:r>
    </w:p>
    <w:p w14:paraId="41AA7F29" w14:textId="77777777" w:rsidR="00764D11" w:rsidRDefault="00000000">
      <w:r>
        <w:rPr>
          <w:b/>
        </w:rPr>
        <w:t xml:space="preserve">Decisión / valor exacto: </w:t>
      </w:r>
      <w:r>
        <w:t>Prophet, XGBoost, LightGBM y ARX+GARCH se entrenan sobre log(precio), no sobre el precio en COP/kWh directamente.</w:t>
      </w:r>
    </w:p>
    <w:p w14:paraId="44DD1572" w14:textId="77777777" w:rsidR="00764D11" w:rsidRDefault="00000000">
      <w:r>
        <w:rPr>
          <w:b/>
        </w:rPr>
        <w:t xml:space="preserve">Razonamiento: </w:t>
      </w:r>
      <w:r>
        <w:t>El precio de bolsa colombiano tiene una distribución muy asimétrica con picos extremos ocasionales (regímenes de El Niño); transformar a log estabiliza la varianza y evita que esos picos dominen desproporcionadamente la función de pérdida de los modelos.</w:t>
      </w:r>
    </w:p>
    <w:p w14:paraId="708C902D" w14:textId="77777777" w:rsidR="00764D11" w:rsidRDefault="00000000">
      <w:r>
        <w:rPr>
          <w:b/>
        </w:rPr>
        <w:t xml:space="preserve">■ Estado de la evidencia: </w:t>
      </w:r>
      <w:r>
        <w:rPr>
          <w:b/>
          <w:color w:val="15803D"/>
        </w:rPr>
        <w:t>RESPALDADO POR LITERATURA CITADA</w:t>
      </w:r>
    </w:p>
    <w:p w14:paraId="5B83FF6A" w14:textId="77777777" w:rsidR="00764D11" w:rsidRDefault="00000000">
      <w:pPr>
        <w:spacing w:after="80"/>
        <w:ind w:left="227"/>
      </w:pPr>
      <w:r>
        <w:t>Existe literatura específica y dedicada exactamente a este tema en mercados eléctricos: Uniejewski, Weron y Ziel (2018), ‘Variance Stabilizing Transformations for Electricity Spot Price Forecasting’, IEEE Transactions on Power Systems — es la referencia estándar del área para justificar log-transform (y variantes Box-Cox) en precios eléctricos. El proyecto usa la técnica correctamente pero, hasta donde se revisó, NO cita este paper en el README.</w:t>
      </w:r>
    </w:p>
    <w:p w14:paraId="71EA6317" w14:textId="77777777" w:rsidR="00764D11" w:rsidRDefault="00000000">
      <w:pPr>
        <w:ind w:left="227"/>
      </w:pPr>
      <w:r>
        <w:rPr>
          <w:b/>
          <w:color w:val="B91C1C"/>
        </w:rPr>
        <w:t xml:space="preserve">Qué investigar / dónde buscar: </w:t>
      </w:r>
      <w:r>
        <w:rPr>
          <w:i/>
        </w:rPr>
        <w:t>Leer Uniejewski, Weron &amp; Ziel (2018) y decidir si el log simple es la transformación óptima, o si conviene probar la transformación Box-Cox u otra variante que ese mismo paper compara — podría ser una mejora incremental fácil de justificar formalmente.</w:t>
      </w:r>
    </w:p>
    <w:p w14:paraId="47E8648A" w14:textId="77777777" w:rsidR="00764D11" w:rsidRDefault="00764D11"/>
    <w:p w14:paraId="3965CD49" w14:textId="77777777" w:rsidR="00764D11" w:rsidRDefault="00000000">
      <w:pPr>
        <w:spacing w:before="280"/>
      </w:pPr>
      <w:r>
        <w:rPr>
          <w:b/>
          <w:color w:val="1F4E79"/>
          <w:sz w:val="25"/>
        </w:rPr>
        <w:t>1.8 — Estandarización de variables exógenas antes de entrenar N-BEATSx / N-HiTS</w:t>
      </w:r>
    </w:p>
    <w:p w14:paraId="11814A7B" w14:textId="77777777" w:rsidR="00764D11" w:rsidRDefault="00000000">
      <w:r>
        <w:rPr>
          <w:b/>
        </w:rPr>
        <w:t xml:space="preserve">Decisión / valor exacto: </w:t>
      </w:r>
      <w:r>
        <w:t>Variables como el volumen de embalses (escala ~1e10) o la demanda (~1e6) se estandarizan (media 0, desviación 1) antes de entrar a las redes neuronales.</w:t>
      </w:r>
    </w:p>
    <w:p w14:paraId="281305CF" w14:textId="77777777" w:rsidR="00764D11" w:rsidRDefault="00000000">
      <w:r>
        <w:rPr>
          <w:b/>
        </w:rPr>
        <w:t xml:space="preserve">Razonamiento: </w:t>
      </w:r>
      <w:r>
        <w:t>Sin estandarizar, la red diverge numéricamente durante el entrenamiento — se documentó explícitamente en la bitácora del proyecto como un problema real encontrado (“mismo tipo de problema que ya había aparecido con ARX+GARCH”).</w:t>
      </w:r>
    </w:p>
    <w:p w14:paraId="7CD2A7B8" w14:textId="77777777" w:rsidR="00764D11" w:rsidRDefault="00000000">
      <w:r>
        <w:rPr>
          <w:b/>
        </w:rPr>
        <w:t xml:space="preserve">■ Estado de la evidencia: </w:t>
      </w:r>
      <w:r>
        <w:rPr>
          <w:b/>
          <w:color w:val="15803D"/>
        </w:rPr>
        <w:t>RESPALDADO POR LITERATURA CITADA</w:t>
      </w:r>
    </w:p>
    <w:p w14:paraId="38792FA9" w14:textId="77777777" w:rsidR="00764D11" w:rsidRDefault="00000000">
      <w:pPr>
        <w:spacing w:after="80"/>
        <w:ind w:left="227"/>
      </w:pPr>
      <w:r>
        <w:lastRenderedPageBreak/>
        <w:t>Es una práctica absolutamente estándar en aprendizaje profundo (no específica de electricidad): cualquier texto de referencia general de deep learning (ej. Goodfellow, Bengio &amp; Courville, 2016, ‘Deep Learning’, MIT Press) documenta la normalización de entradas como condición casi obligatoria para convergencia estable del optimizador. No hace falta investigar más — es una decisión técnica bien fundamentada y además confirmada empíricamente por el propio problema de divergencia que se observó sin ella.</w:t>
      </w:r>
    </w:p>
    <w:p w14:paraId="1C263CF0" w14:textId="77777777" w:rsidR="00764D11" w:rsidRDefault="00764D11"/>
    <w:p w14:paraId="01FC952A" w14:textId="77777777" w:rsidR="00764D11" w:rsidRDefault="00000000">
      <w:pPr>
        <w:spacing w:before="280"/>
      </w:pPr>
      <w:r>
        <w:rPr>
          <w:b/>
          <w:color w:val="1F4E79"/>
          <w:sz w:val="25"/>
        </w:rPr>
        <w:t>1.9 — Armónicos de calendario (seno/coseno) en vez de variables categóricas de hora/día</w:t>
      </w:r>
    </w:p>
    <w:p w14:paraId="51F314CB" w14:textId="77777777" w:rsidR="00764D11" w:rsidRDefault="00000000">
      <w:r>
        <w:rPr>
          <w:b/>
        </w:rPr>
        <w:t xml:space="preserve">Decisión / valor exacto: </w:t>
      </w:r>
      <w:r>
        <w:t>La hora del día y el día de la semana se codifican como pares seno/coseno (‘armónicos’), no como variables categóricas (dummies) de 24 y 7 niveles.</w:t>
      </w:r>
    </w:p>
    <w:p w14:paraId="757193DA" w14:textId="77777777" w:rsidR="00764D11" w:rsidRDefault="00000000">
      <w:r>
        <w:rPr>
          <w:b/>
        </w:rPr>
        <w:t xml:space="preserve">Razonamiento: </w:t>
      </w:r>
      <w:r>
        <w:t>Los armónicos capturan la naturaleza cíclica del tiempo (la hora 23 está tan cerca de la hora 0 como de la hora 22) — una codificación categórica no tiene esa noción de cercanía circular.</w:t>
      </w:r>
    </w:p>
    <w:p w14:paraId="2141F674" w14:textId="77777777" w:rsidR="00764D11" w:rsidRDefault="00000000">
      <w:r>
        <w:rPr>
          <w:b/>
        </w:rPr>
        <w:t xml:space="preserve">■ Estado de la evidencia: </w:t>
      </w:r>
      <w:r>
        <w:rPr>
          <w:b/>
          <w:color w:val="15803D"/>
        </w:rPr>
        <w:t>RESPALDADO POR LITERATURA CITADA</w:t>
      </w:r>
    </w:p>
    <w:p w14:paraId="7A98751D" w14:textId="77777777" w:rsidR="00764D11" w:rsidRDefault="00000000">
      <w:pPr>
        <w:spacing w:after="80"/>
        <w:ind w:left="227"/>
      </w:pPr>
      <w:r>
        <w:t>Es una técnica formalmente descrita como ‘términos de Fourier para estacionalidad’ en Hyndman &amp; Athanasopoulos, ‘Forecasting: Principles and Practice’ (el libro de texto de referencia más citado en pronóstico aplicado, disponible gratis en otexts.com/fpp3) — recomendada explícitamente ahí para estacionalidades con muchos niveles categóricos, exactamente el caso de la hora del día.</w:t>
      </w:r>
    </w:p>
    <w:p w14:paraId="45D1C37C" w14:textId="77777777" w:rsidR="00764D11" w:rsidRDefault="00000000">
      <w:pPr>
        <w:ind w:left="227"/>
      </w:pPr>
      <w:r>
        <w:rPr>
          <w:b/>
          <w:color w:val="B91C1C"/>
        </w:rPr>
        <w:t xml:space="preserve">Qué investigar / dónde buscar: </w:t>
      </w:r>
      <w:r>
        <w:rPr>
          <w:i/>
        </w:rPr>
        <w:t>Agregar la cita a Hyndman &amp; Athanasopoulos en el informe final — es gratuita, fácil de verificar y da mucha solidez a esta decisión con muy poco esfuerzo.</w:t>
      </w:r>
    </w:p>
    <w:p w14:paraId="1B453FE5" w14:textId="77777777" w:rsidR="00764D11" w:rsidRDefault="00764D11"/>
    <w:p w14:paraId="4AB0F17C" w14:textId="77777777" w:rsidR="00764D11" w:rsidRDefault="00000000">
      <w:pPr>
        <w:spacing w:before="280"/>
      </w:pPr>
      <w:r>
        <w:rPr>
          <w:b/>
          <w:color w:val="1F4E79"/>
          <w:sz w:val="25"/>
        </w:rPr>
        <w:t>1.10 — Variable indicadora de pandemia (2020) en vez de excluir ese año</w:t>
      </w:r>
    </w:p>
    <w:p w14:paraId="012CEBDB" w14:textId="77777777" w:rsidR="00764D11" w:rsidRDefault="00000000">
      <w:r>
        <w:rPr>
          <w:b/>
        </w:rPr>
        <w:t xml:space="preserve">Decisión / valor exacto: </w:t>
      </w:r>
      <w:r>
        <w:t>2020 se mantiene en el dataset de entrenamiento, marcado con una variable binaria que indica ‘periodo de pandemia’, en vez de eliminarse.</w:t>
      </w:r>
    </w:p>
    <w:p w14:paraId="3360E0D0" w14:textId="77777777" w:rsidR="00764D11" w:rsidRDefault="00000000">
      <w:r>
        <w:rPr>
          <w:b/>
        </w:rPr>
        <w:t xml:space="preserve">Razonamiento: </w:t>
      </w:r>
      <w:r>
        <w:t>Excluir el año perdería información real de un régimen de demanda distinto; marcarlo permite que el modelo aprenda que ese periodo fue estructuralmente diferente sin perder los datos.</w:t>
      </w:r>
    </w:p>
    <w:p w14:paraId="269D6481" w14:textId="77777777" w:rsidR="00764D11" w:rsidRDefault="00000000">
      <w:r>
        <w:rPr>
          <w:b/>
        </w:rPr>
        <w:t xml:space="preserve">■ Estado de la evidencia: </w:t>
      </w:r>
      <w:r>
        <w:rPr>
          <w:b/>
          <w:color w:val="B45309"/>
        </w:rPr>
        <w:t>VALIDADO DENTRO DEL PROYECTO (sin cita externa)</w:t>
      </w:r>
    </w:p>
    <w:p w14:paraId="7F257F24" w14:textId="77777777" w:rsidR="00764D11" w:rsidRDefault="00000000">
      <w:pPr>
        <w:spacing w:after="80"/>
        <w:ind w:left="227"/>
      </w:pPr>
      <w:r>
        <w:t>No hay una cita específica en el README para esta práctica, pero fue una práctica generalizada en pronóstico económico y energético durante 2020-2022 en todo el mundo (bancos centrales, operadores de red, etc. introdujeron variables dummy de COVID en sus modelos) — es plausible y razonable, aunque el proyecto no lo respalda con un experimento propio que compare ‘con variable’ vs. ‘excluyendo 2020’ vs. ‘sin marcar nada’.</w:t>
      </w:r>
    </w:p>
    <w:p w14:paraId="5C8B7B34" w14:textId="77777777" w:rsidR="00764D11" w:rsidRDefault="00000000">
      <w:pPr>
        <w:ind w:left="227"/>
      </w:pPr>
      <w:r>
        <w:rPr>
          <w:b/>
          <w:color w:val="B91C1C"/>
        </w:rPr>
        <w:t xml:space="preserve">Qué investigar / dónde buscar: </w:t>
      </w:r>
      <w:r>
        <w:rPr>
          <w:i/>
        </w:rPr>
        <w:t xml:space="preserve">Correr, si hay tiempo, una comparación de las tres variantes (excluir 2020 / dejarlo sin marcar / variable indicadora) para confirmar con datos propios cuál es mejor, en vez de asumir que la variable indicadora es la óptima. Sobre literatura: buscar ‘COVID dummy variable electricity </w:t>
      </w:r>
      <w:r>
        <w:rPr>
          <w:i/>
        </w:rPr>
        <w:lastRenderedPageBreak/>
        <w:t>demand forecasting’ — hay varios papers de 2021-2022 específicamente sobre el efecto de la pandemia en la demanda eléctrica que podrían servir de referencia directa.</w:t>
      </w:r>
    </w:p>
    <w:p w14:paraId="6E026A81" w14:textId="77777777" w:rsidR="00764D11" w:rsidRDefault="00764D11"/>
    <w:p w14:paraId="6DBCD74A" w14:textId="77777777" w:rsidR="00764D11" w:rsidRDefault="00000000">
      <w:pPr>
        <w:spacing w:before="280"/>
      </w:pPr>
      <w:r>
        <w:rPr>
          <w:b/>
          <w:color w:val="1F4E79"/>
          <w:sz w:val="25"/>
        </w:rPr>
        <w:t>1.11 — Ventana de entrenamiento 2019-2025 (exclusión de 2015-2018)</w:t>
      </w:r>
    </w:p>
    <w:p w14:paraId="009C189D" w14:textId="77777777" w:rsidR="00764D11" w:rsidRDefault="00000000">
      <w:r>
        <w:rPr>
          <w:b/>
        </w:rPr>
        <w:t xml:space="preserve">Decisión / valor exacto: </w:t>
      </w:r>
      <w:r>
        <w:t>El entrenamiento de todos los modelos usa 2019 en adelante; 2015-2018 se excluye por completo del dataset principal.</w:t>
      </w:r>
    </w:p>
    <w:p w14:paraId="7F68F3B5" w14:textId="77777777" w:rsidR="00764D11" w:rsidRDefault="00000000">
      <w:r>
        <w:rPr>
          <w:b/>
        </w:rPr>
        <w:t xml:space="preserve">Razonamiento: </w:t>
      </w:r>
      <w:r>
        <w:t>La regulación CREG cambió en 2015, lo que se interpreta como un cambio estructural del mercado que haría que datos anteriores no sean representativos del régimen actual.</w:t>
      </w:r>
    </w:p>
    <w:p w14:paraId="785A5B31" w14:textId="77777777" w:rsidR="00764D11" w:rsidRDefault="00000000">
      <w:r>
        <w:rPr>
          <w:b/>
        </w:rPr>
        <w:t xml:space="preserve">■ Estado de la evidencia: </w:t>
      </w:r>
      <w:r>
        <w:rPr>
          <w:b/>
          <w:color w:val="B45309"/>
        </w:rPr>
        <w:t>VALIDADO DENTRO DEL PROYECTO (sin cita externa)</w:t>
      </w:r>
    </w:p>
    <w:p w14:paraId="3D695685" w14:textId="77777777" w:rsidR="00764D11" w:rsidRDefault="00000000">
      <w:pPr>
        <w:spacing w:after="80"/>
        <w:ind w:left="227"/>
      </w:pPr>
      <w:r>
        <w:t>La justificación es institucional/regulatoria (conocimiento de dominio del equipo), y se probó parcialmente: un experimento aparte (rama experimento-2017-hidrotermica) SÍ incluyó 2017-2018 y encontró que ese periodo tiene un régimen de precio estructuralmente distinto (media 106-116 COP/kWh vs. 228.3+ desde 2019, con volatilidad distinta) y que incluirlo empeora el desempeño de los modelos de deep learning — es decir, la decisión SÍ se validó empíricamente, aunque después de haberse tomado, no antes.</w:t>
      </w:r>
    </w:p>
    <w:p w14:paraId="0D28FF91" w14:textId="77777777" w:rsidR="00764D11" w:rsidRDefault="00000000">
      <w:pPr>
        <w:ind w:left="227"/>
      </w:pPr>
      <w:r>
        <w:rPr>
          <w:b/>
          <w:color w:val="B91C1C"/>
        </w:rPr>
        <w:t xml:space="preserve">Qué investigar / dónde buscar: </w:t>
      </w:r>
      <w:r>
        <w:rPr>
          <w:i/>
        </w:rPr>
        <w:t>La exclusión de 2015-2018 en cambio (no solo 2017-2018) nunca se probó directamente — se asumió por la fecha de la reforma CREG. Si se quiere blindar esta decisión formalmente, correr una prueba de quiebre estructural (test de Chow, o un test de cambio de régimen tipo Bai-Perron) sobre la serie completa de precio 2015-2026 confirmaría objetivamente si el quiebre está donde se asume, en vez de apoyarse solo en la fecha de la norma.</w:t>
      </w:r>
    </w:p>
    <w:p w14:paraId="78E10995" w14:textId="77777777" w:rsidR="00764D11" w:rsidRDefault="00764D11"/>
    <w:p w14:paraId="6C3983E6" w14:textId="77777777" w:rsidR="00764D11" w:rsidRDefault="00000000">
      <w:pPr>
        <w:spacing w:before="280"/>
      </w:pPr>
      <w:r>
        <w:rPr>
          <w:b/>
          <w:color w:val="1F4E79"/>
          <w:sz w:val="25"/>
        </w:rPr>
        <w:t>1.12 — Variables descartadas: relación hidráulica/térmica (H/T), variables nuevas del API (costo_marginal_despacho, etc.)</w:t>
      </w:r>
    </w:p>
    <w:p w14:paraId="7586089C" w14:textId="77777777" w:rsidR="00764D11" w:rsidRDefault="00000000">
      <w:r>
        <w:rPr>
          <w:b/>
        </w:rPr>
        <w:t xml:space="preserve">Decisión / valor exacto: </w:t>
      </w:r>
      <w:r>
        <w:t>Se probaron y NO se incorporaron al pipeline principal: la razón H/T (Agudelo et al. 2015), y 9 de 12 variables nuevas descargadas de XM (correlación parcial &lt;0.05, dos de ellas incluso detectadas como fuga de datos pura).</w:t>
      </w:r>
    </w:p>
    <w:p w14:paraId="320544D4" w14:textId="77777777" w:rsidR="00764D11" w:rsidRDefault="00000000">
      <w:r>
        <w:rPr>
          <w:b/>
        </w:rPr>
        <w:t xml:space="preserve">Razonamiento: </w:t>
      </w:r>
      <w:r>
        <w:t>Ambas se descartaron por evidencia empírica directa: la variable H/T tiene correlación cruda fuerte con el precio (+0.744) pero queda en los últimos puestos de importancia por ganancia en XGBoost frente a variables ya existentes (precio_lag24h la vuelve redundante); las variables del API se filtraron por un tamiz de correlación parcial (controlando por precio_lag24h).</w:t>
      </w:r>
    </w:p>
    <w:p w14:paraId="0F2E521C" w14:textId="77777777" w:rsidR="00764D11" w:rsidRDefault="00000000">
      <w:r>
        <w:rPr>
          <w:b/>
        </w:rPr>
        <w:t xml:space="preserve">■ Estado de la evidencia: </w:t>
      </w:r>
      <w:r>
        <w:rPr>
          <w:b/>
          <w:color w:val="B45309"/>
        </w:rPr>
        <w:t>VALIDADO DENTRO DEL PROYECTO (sin cita externa)</w:t>
      </w:r>
    </w:p>
    <w:p w14:paraId="7F10AE85" w14:textId="77777777" w:rsidR="00764D11" w:rsidRDefault="00000000">
      <w:pPr>
        <w:spacing w:after="80"/>
        <w:ind w:left="227"/>
      </w:pPr>
      <w:r>
        <w:t>Este es de los ejemplos más rigurosos del proyecto: no se descartaron por intuición, sino por un procedimiento estadístico explícito (correlación parcial) aplicado sistemáticamente a las 12 variables candidatas, con el hallazgo adicional de detectar una fuga de datos real (max_precio_oferta, correlación contemporánea de 0.9998) antes de que contaminara ningún modelo.</w:t>
      </w:r>
    </w:p>
    <w:p w14:paraId="3E0426EB" w14:textId="77777777" w:rsidR="00764D11" w:rsidRDefault="00764D11"/>
    <w:p w14:paraId="4055CFED" w14:textId="77777777" w:rsidR="00764D11" w:rsidRDefault="00000000">
      <w:pPr>
        <w:spacing w:before="280"/>
      </w:pPr>
      <w:r>
        <w:rPr>
          <w:b/>
          <w:color w:val="1F4E79"/>
          <w:sz w:val="25"/>
        </w:rPr>
        <w:t>1.13 — Festivos colombianos como variable (es_festivo + rezagos + ‘mismatch’)</w:t>
      </w:r>
    </w:p>
    <w:p w14:paraId="371686AC" w14:textId="77777777" w:rsidR="00764D11" w:rsidRDefault="00000000">
      <w:r>
        <w:rPr>
          <w:b/>
        </w:rPr>
        <w:t xml:space="preserve">Decisión / valor exacto: </w:t>
      </w:r>
      <w:r>
        <w:t>Se agregaron variables de calendario de festivos, incluyendo si el rezago de precio cae en un tipo de día distinto al del día objetivo.</w:t>
      </w:r>
    </w:p>
    <w:p w14:paraId="76394A93" w14:textId="77777777" w:rsidR="00764D11" w:rsidRDefault="00000000">
      <w:r>
        <w:rPr>
          <w:b/>
        </w:rPr>
        <w:t xml:space="preserve">Razonamiento: </w:t>
      </w:r>
      <w:r>
        <w:t>Un festivo entre semana se comporta más como un domingo que como un día laboral normal en cuanto a demanda y precio — si no se marca, el modelo puede confundirse al usar el rezago de hace 24h/168h de un día festivo para predecir un día normal (o viceversa).</w:t>
      </w:r>
    </w:p>
    <w:p w14:paraId="0EEEDE4B" w14:textId="77777777" w:rsidR="00764D11" w:rsidRDefault="00000000">
      <w:r>
        <w:rPr>
          <w:b/>
        </w:rPr>
        <w:t xml:space="preserve">■ Estado de la evidencia: </w:t>
      </w:r>
      <w:r>
        <w:rPr>
          <w:b/>
          <w:color w:val="15803D"/>
        </w:rPr>
        <w:t>RESPALDADO POR LITERATURA CITADA</w:t>
      </w:r>
    </w:p>
    <w:p w14:paraId="7CD2A481" w14:textId="77777777" w:rsidR="00764D11" w:rsidRDefault="00000000">
      <w:pPr>
        <w:spacing w:after="80"/>
        <w:ind w:left="227"/>
      </w:pPr>
      <w:r>
        <w:t>Esta es la decisión con la evidencia MÁS fuerte de todo el proyecto: se confirmó con significancia estadística real (prueba t pareada sobre 5 semillas de entrenamiento, t=5.22, p=0.0064) que el error específicamente en horas festivas mejora de forma consistente (5 de 5 semillas) al incluir estas variables. Es, además, información de calendario conocida con años de anticipación, por lo que se puede pasar como variable futura sin ningún riesgo de fuga.</w:t>
      </w:r>
    </w:p>
    <w:p w14:paraId="37FDF115" w14:textId="77777777" w:rsidR="00764D11" w:rsidRDefault="00764D11"/>
    <w:p w14:paraId="24169529" w14:textId="77777777" w:rsidR="00764D11" w:rsidRDefault="00000000">
      <w:pPr>
        <w:pStyle w:val="Ttulo1"/>
      </w:pPr>
      <w:r>
        <w:rPr>
          <w:color w:val="1F4E79"/>
        </w:rPr>
        <w:t>2. Bandas de incertidumbre: la elección del margen — sección crítica</w:t>
      </w:r>
    </w:p>
    <w:p w14:paraId="11651A44" w14:textId="77777777" w:rsidR="00764D11" w:rsidRDefault="00000000">
      <w:r>
        <w:rPr>
          <w:b/>
        </w:rPr>
        <w:t>Esta es la sección que el equipo pidió tratar con más cuidado: aquí se documenta explícitamente cuáles partes del diseño de las bandas SÍ tienen respaldo claro y cuáles NO, sin suavizar el diagnóstico.</w:t>
      </w:r>
    </w:p>
    <w:p w14:paraId="6EAD6A68" w14:textId="77777777" w:rsidR="00764D11" w:rsidRDefault="00000000">
      <w:pPr>
        <w:spacing w:before="280"/>
      </w:pPr>
      <w:r>
        <w:rPr>
          <w:b/>
          <w:color w:val="1F4E79"/>
          <w:sz w:val="25"/>
        </w:rPr>
        <w:t>2.1 — Por qué un intervalo del 80% (cuantiles q10 / q50 / q90) y no otro nivel</w:t>
      </w:r>
    </w:p>
    <w:p w14:paraId="0DD81178" w14:textId="77777777" w:rsidR="00764D11" w:rsidRDefault="00000000">
      <w:r>
        <w:rPr>
          <w:b/>
        </w:rPr>
        <w:t xml:space="preserve">Decisión / valor exacto: </w:t>
      </w:r>
      <w:r>
        <w:t>El pronóstico se entrega como tres cuantiles: 10%, 50% (mediana) y 90% — es decir, un intervalo central que en teoría cubre el 80% de los casos.</w:t>
      </w:r>
    </w:p>
    <w:p w14:paraId="3522DB79" w14:textId="77777777" w:rsidR="00764D11" w:rsidRDefault="00000000">
      <w:r>
        <w:rPr>
          <w:b/>
        </w:rPr>
        <w:t xml:space="preserve">Razonamiento: </w:t>
      </w:r>
      <w:r>
        <w:t>80% (y 95%) son los niveles de intervalo de predicción más usados por convención en pronóstico de series de tiempo en general.</w:t>
      </w:r>
    </w:p>
    <w:p w14:paraId="154A7140" w14:textId="77777777" w:rsidR="00764D11" w:rsidRDefault="00000000">
      <w:r>
        <w:rPr>
          <w:b/>
        </w:rPr>
        <w:t xml:space="preserve">■ Estado de la evidencia: </w:t>
      </w:r>
      <w:r>
        <w:rPr>
          <w:b/>
          <w:color w:val="15803D"/>
        </w:rPr>
        <w:t>RESPALDADO POR LITERATURA CITADA</w:t>
      </w:r>
    </w:p>
    <w:p w14:paraId="63E751E1" w14:textId="77777777" w:rsidR="00764D11" w:rsidRDefault="00000000">
      <w:pPr>
        <w:spacing w:after="80"/>
        <w:ind w:left="227"/>
      </w:pPr>
      <w:r>
        <w:t>Hyndman &amp; Athanasopoulos (‘Forecasting: Principles and Practice’, capítulo de intervalos de predicción) documentan 80% y 95% como los dos niveles convencionales estándar en la práctica de pronóstico — es una convención ampliamente aceptada, no un número inventado. PERO: esta cita no está en el README del proyecto, y más importante — el proyecto nunca evaluó si 80% es el nivel correcto ESPECÍFICAMENTE para las necesidades de una regla de compra/venta (podría ser que un intervalo más angosto, ej. 60% [q20,q80], o distinto en cada extremo, sea más útil para la regla ‘banda’ del motor de decisión).</w:t>
      </w:r>
    </w:p>
    <w:p w14:paraId="3C3D1655" w14:textId="77777777" w:rsidR="00764D11" w:rsidRDefault="00000000">
      <w:pPr>
        <w:ind w:left="227"/>
      </w:pPr>
      <w:r>
        <w:rPr>
          <w:b/>
          <w:color w:val="B91C1C"/>
        </w:rPr>
        <w:t xml:space="preserve">Qué investigar / dónde buscar: </w:t>
      </w:r>
      <w:r>
        <w:rPr>
          <w:i/>
        </w:rPr>
        <w:t xml:space="preserve">(1) Citar formalmente Hyndman &amp; Athanasopoulos para el nivel de 80% como convención. (2) Más importante: probar si otros niveles de intervalo (ej. 60%, 70%, 90%) cambian el resultado del backtest del motor de decisión — hoy esto nunca se probó, se heredó el 80% directamente de la práctica general de pronóstico, no de una optimización para el caso de uso de decisión. Ver también </w:t>
      </w:r>
      <w:r>
        <w:rPr>
          <w:i/>
        </w:rPr>
        <w:lastRenderedPageBreak/>
        <w:t>el paper de Maciejowska et al. 2026 ya citado en el README (evaluación económica de pronósticos) por si discute algo sobre el nivel óptimo de intervalo para decisiones.</w:t>
      </w:r>
    </w:p>
    <w:p w14:paraId="0E8E7C72" w14:textId="77777777" w:rsidR="00764D11" w:rsidRDefault="00764D11"/>
    <w:p w14:paraId="0B48D26C" w14:textId="77777777" w:rsidR="00764D11" w:rsidRDefault="00000000">
      <w:pPr>
        <w:spacing w:before="280"/>
      </w:pPr>
      <w:r>
        <w:rPr>
          <w:b/>
          <w:color w:val="1F4E79"/>
          <w:sz w:val="25"/>
        </w:rPr>
        <w:t>2.2 — Por qué calibración conforme (CQR) en vez de las bandas nativas del modelo</w:t>
      </w:r>
    </w:p>
    <w:p w14:paraId="03BD24C6" w14:textId="77777777" w:rsidR="00764D11" w:rsidRDefault="00000000">
      <w:r>
        <w:rPr>
          <w:b/>
        </w:rPr>
        <w:t xml:space="preserve">Decisión / valor exacto: </w:t>
      </w:r>
      <w:r>
        <w:t>En vez de confiar en los cuantiles crudos que produce N-BEATSx (entrenado con MQLoss), se les aplica un ajuste posterior de calibración conforme para corregir su cobertura.</w:t>
      </w:r>
    </w:p>
    <w:p w14:paraId="0A386180" w14:textId="77777777" w:rsidR="00764D11" w:rsidRDefault="00000000">
      <w:r>
        <w:rPr>
          <w:b/>
        </w:rPr>
        <w:t xml:space="preserve">Razonamiento: </w:t>
      </w:r>
      <w:r>
        <w:t>Los cuantiles crudos de N-BEATSx dieron una cobertura de apenas 62.6% contra un objetivo de 80% — el modelo estaba ‘sobre-confiado’ (sus bandas eran más angostas de lo que su error real justificaba). La calibración conforme corrige esto de forma garantizada.</w:t>
      </w:r>
    </w:p>
    <w:p w14:paraId="30012D5D" w14:textId="77777777" w:rsidR="00764D11" w:rsidRDefault="00000000">
      <w:r>
        <w:rPr>
          <w:b/>
        </w:rPr>
        <w:t xml:space="preserve">■ Estado de la evidencia: </w:t>
      </w:r>
      <w:r>
        <w:rPr>
          <w:b/>
          <w:color w:val="15803D"/>
        </w:rPr>
        <w:t>RESPALDADO POR LITERATURA CITADA</w:t>
      </w:r>
    </w:p>
    <w:p w14:paraId="383615AA" w14:textId="77777777" w:rsidR="00764D11" w:rsidRDefault="00000000">
      <w:pPr>
        <w:spacing w:after="80"/>
        <w:ind w:left="227"/>
      </w:pPr>
      <w:r>
        <w:t>La técnica base (Conformalized Quantile Regression, CQR) tiene una cita académica precisa y bien establecida: Romano, Patterson &amp; Candès (2019), ‘Conformalized Quantile Regression’, NeurIPS. Es el método correcto y estándar de la literatura para este problema exacto (sub-cobertura de regresión por cuantiles). El proyecto la aplica correctamente en su forma estática primero, y luego en su forma adaptativa (ver 2.3).</w:t>
      </w:r>
    </w:p>
    <w:p w14:paraId="0DE9DC2C" w14:textId="77777777" w:rsidR="00764D11" w:rsidRDefault="00000000">
      <w:pPr>
        <w:ind w:left="227"/>
      </w:pPr>
      <w:r>
        <w:rPr>
          <w:b/>
          <w:color w:val="B91C1C"/>
        </w:rPr>
        <w:t xml:space="preserve">Qué investigar / dónde buscar: </w:t>
      </w:r>
      <w:r>
        <w:rPr>
          <w:i/>
        </w:rPr>
        <w:t>Verificar que el README/informe final cite explícitamente a Romano, Patterson &amp; Candès (2019) — actualmente la técnica se describe y se usa bien, pero no vi la cita formal del paper original en el material revisado.</w:t>
      </w:r>
    </w:p>
    <w:p w14:paraId="5FB04D6A" w14:textId="77777777" w:rsidR="00764D11" w:rsidRDefault="00764D11"/>
    <w:p w14:paraId="0996B5A6" w14:textId="77777777" w:rsidR="00764D11" w:rsidRDefault="00000000">
      <w:pPr>
        <w:spacing w:before="280"/>
      </w:pPr>
      <w:r>
        <w:rPr>
          <w:b/>
          <w:color w:val="1F4E79"/>
          <w:sz w:val="25"/>
        </w:rPr>
        <w:t>2.3 — Por qué calibración ADAPTATIVA (ventana móvil) en vez de una calibración estática única</w:t>
      </w:r>
    </w:p>
    <w:p w14:paraId="75C3687C" w14:textId="77777777" w:rsidR="00764D11" w:rsidRDefault="00000000">
      <w:r>
        <w:rPr>
          <w:b/>
        </w:rPr>
        <w:t xml:space="preserve">Decisión / valor exacto: </w:t>
      </w:r>
      <w:r>
        <w:t>El margen de calibración se recalcula cada día usando los errores de conformidad de los últimos 30 días, en vez de calibrarse una sola vez con un tramo fijo del año.</w:t>
      </w:r>
    </w:p>
    <w:p w14:paraId="648C4C50" w14:textId="77777777" w:rsidR="00764D11" w:rsidRDefault="00000000">
      <w:r>
        <w:rPr>
          <w:b/>
        </w:rPr>
        <w:t xml:space="preserve">Razonamiento: </w:t>
      </w:r>
      <w:r>
        <w:t>La calibración estática (un solo ajuste, calibrado en enero-abril) solo llegó a 67.6% de cobertura porque el precio medio se TRIPLICA entre el primer y el segundo semestre de 2026 — un solo margen fijo no puede servir para dos regímenes de volatilidad tan distintos dentro del mismo año de prueba.</w:t>
      </w:r>
    </w:p>
    <w:p w14:paraId="75588F39" w14:textId="77777777" w:rsidR="00764D11" w:rsidRDefault="00000000">
      <w:r>
        <w:rPr>
          <w:b/>
        </w:rPr>
        <w:t xml:space="preserve">■ Estado de la evidencia: </w:t>
      </w:r>
      <w:r>
        <w:rPr>
          <w:b/>
          <w:color w:val="15803D"/>
        </w:rPr>
        <w:t>RESPALDADO POR LITERATURA CITADA</w:t>
      </w:r>
    </w:p>
    <w:p w14:paraId="617B68B4" w14:textId="77777777" w:rsidR="00764D11" w:rsidRDefault="00000000">
      <w:pPr>
        <w:spacing w:after="80"/>
        <w:ind w:left="227"/>
      </w:pPr>
      <w:r>
        <w:t>Existe un artículo académico específico sobre exactamente este problema (calibración conforme bajo cambio de régimen/distribución): Gibbs &amp; Candès (2021), ‘Adaptive Conformal Inference Under Distribution Shift’, NeurIPS. El mecanismo que describe ese paper (actualizar el margen de calibración en línea, con una tasa de adaptación) es conceptualmente el mismo problema que resuelve la ventana móvil implementada aquí, aunque la implementación exacta del proyecto (una ventana móvil de N días, no una tasa de actualización tipo gradiente como en el paper original) es una variante propia, no una réplica literal del método de Gibbs &amp; Candès.</w:t>
      </w:r>
    </w:p>
    <w:p w14:paraId="566CA9EA" w14:textId="77777777" w:rsidR="00764D11" w:rsidRDefault="00000000">
      <w:pPr>
        <w:ind w:left="227"/>
      </w:pPr>
      <w:r>
        <w:rPr>
          <w:b/>
          <w:color w:val="B91C1C"/>
        </w:rPr>
        <w:lastRenderedPageBreak/>
        <w:t xml:space="preserve">Qué investigar / dónde buscar: </w:t>
      </w:r>
      <w:r>
        <w:rPr>
          <w:i/>
        </w:rPr>
        <w:t>Leer Gibbs &amp; Candès (2021) completo y decidir si conviene migrar de ‘ventana móvil de N días’ a su mecanismo de actualización en línea (con una tasa γ que se ajusta automáticamente) — podría dar una calibración más precisa y, sobre todo, daría una base metodológica formalmente citable idéntica al mecanismo implementado, no solo ‘inspirada en’.</w:t>
      </w:r>
    </w:p>
    <w:p w14:paraId="21BF5EC2" w14:textId="77777777" w:rsidR="00764D11" w:rsidRDefault="00764D11"/>
    <w:p w14:paraId="45A30FC5" w14:textId="77777777" w:rsidR="00764D11" w:rsidRDefault="00000000">
      <w:pPr>
        <w:spacing w:before="280"/>
      </w:pPr>
      <w:r>
        <w:rPr>
          <w:b/>
          <w:color w:val="1F4E79"/>
          <w:sz w:val="25"/>
        </w:rPr>
        <w:t>2.4 — Por qué específicamente 30 días de ventana móvil (y no 7, 14, 60 o 90)</w:t>
      </w:r>
    </w:p>
    <w:p w14:paraId="1BA0C37F" w14:textId="77777777" w:rsidR="00764D11" w:rsidRDefault="00000000">
      <w:r>
        <w:rPr>
          <w:b/>
        </w:rPr>
        <w:t xml:space="preserve">Decisión / valor exacto: </w:t>
      </w:r>
      <w:r>
        <w:t>Tanto la calibración adaptativa de las bandas como el método de umbral ‘rodante’ del motor de decisión usan una ventana de 30 días.</w:t>
      </w:r>
    </w:p>
    <w:p w14:paraId="0178AB31" w14:textId="77777777" w:rsidR="00764D11" w:rsidRDefault="00000000">
      <w:r>
        <w:rPr>
          <w:b/>
        </w:rPr>
        <w:t xml:space="preserve">Razonamiento: </w:t>
      </w:r>
      <w:r>
        <w:t>30 días (‘un mes’) es una unidad de tiempo intuitiva y common-sense para ‘régimen reciente’, y coincide con la frecuencia de recalibración usada en el benchmark LEAR (recalibración rodante cada 7 días, ventanas de calibración probadas de 56/84/365/728 días — aunque esas ventanas de LEAR son para RE-ENTRENAR el modelo completo, no para calibrar un margen de incertidumbre, así que no es directamente comparable).</w:t>
      </w:r>
    </w:p>
    <w:p w14:paraId="0D4C384B" w14:textId="77777777" w:rsidR="00764D11" w:rsidRDefault="00000000">
      <w:r>
        <w:rPr>
          <w:b/>
        </w:rPr>
        <w:t xml:space="preserve">■ Estado de la evidencia: </w:t>
      </w:r>
      <w:r>
        <w:rPr>
          <w:b/>
          <w:color w:val="B91C1C"/>
        </w:rPr>
        <w:t>SIN RESPALDO CLARO -- REVISAR ANTES DE LA ENTREGA FINAL</w:t>
      </w:r>
    </w:p>
    <w:p w14:paraId="40183F48" w14:textId="77777777" w:rsidR="00764D11" w:rsidRDefault="00000000">
      <w:pPr>
        <w:spacing w:after="80"/>
        <w:ind w:left="227"/>
      </w:pPr>
      <w:r>
        <w:t>Este es el caso más claro de todo el informe de un valor SIN una fuente clara ni una prueba de sensibilidad propia. El proyecto sí probó distintas ventanas de ENTRENAMIENTO para LEAR (56/84/365/728/1456 días) y encontró que las ventanas cortas ganan por mucho a las largas — un hallazgo relacionado pero no es lo mismo que optimizar la ventana de CALIBRACIÓN de incertidumbre ni la ventana del método de umbral ‘rodante’. No se encontró ningún experimento que compare 30 días contra otras alternativas para estos dos usos específicos.</w:t>
      </w:r>
    </w:p>
    <w:p w14:paraId="7D408EAC" w14:textId="77777777" w:rsidR="00764D11" w:rsidRDefault="00000000">
      <w:pPr>
        <w:ind w:left="227"/>
      </w:pPr>
      <w:r>
        <w:rPr>
          <w:b/>
          <w:color w:val="B91C1C"/>
        </w:rPr>
        <w:t xml:space="preserve">Qué investigar / dónde buscar: </w:t>
      </w:r>
      <w:r>
        <w:rPr>
          <w:i/>
        </w:rPr>
        <w:t>Correr una prueba de sensibilidad simple: repetir la calibración adaptativa y el método ‘rodante’ con ventanas de 7, 14, 30, 60 y 90 días, y comparar (a) la cobertura lograda y (b) la ventaja económica del backtest del motor de decisión en cada caso. Es una prueba barata de correr (no requiere reentrenar ningún modelo, solo recalcular percentiles/márgenes sobre datos ya existentes) y cerraría el hueco de evidencia más grande de esta sección. Si se quiere una guía teórica antes de probar, revisar si Gibbs &amp; Candès (2021, ya citado en 2.3) da alguna recomendación sobre el tamaño de ventana/tasa de adaptación óptima.</w:t>
      </w:r>
    </w:p>
    <w:p w14:paraId="30AE5904" w14:textId="77777777" w:rsidR="00764D11" w:rsidRDefault="00764D11"/>
    <w:p w14:paraId="2B99C419" w14:textId="77777777" w:rsidR="00764D11" w:rsidRDefault="00000000">
      <w:pPr>
        <w:spacing w:before="280"/>
      </w:pPr>
      <w:r>
        <w:rPr>
          <w:b/>
          <w:color w:val="1F4E79"/>
          <w:sz w:val="25"/>
        </w:rPr>
        <w:t>2.5 — Diagnóstico honesto: ¿por qué la banda cruda de N-BEATSx pierde cobertura con el horizonte (60.7% → 50.5% → 45.0% de 1-24h a 49-72h)?</w:t>
      </w:r>
    </w:p>
    <w:p w14:paraId="4504BE29" w14:textId="77777777" w:rsidR="00764D11" w:rsidRDefault="00000000">
      <w:r>
        <w:rPr>
          <w:b/>
        </w:rPr>
        <w:t xml:space="preserve">Decisión / valor exacto: </w:t>
      </w:r>
      <w:r>
        <w:t>Se documentó que el ancho de la banda cruda (sin calibrar) casi no crece con el horizonte (136.6 → 144.1 → 148.8 COP/kWh) mientras el error real sí crece fuerte (58.7 → 76.2 → 98.6).</w:t>
      </w:r>
    </w:p>
    <w:p w14:paraId="620004E2" w14:textId="77777777" w:rsidR="00764D11" w:rsidRDefault="00000000">
      <w:r>
        <w:rPr>
          <w:b/>
        </w:rPr>
        <w:t xml:space="preserve">Razonamiento: </w:t>
      </w:r>
      <w:r>
        <w:t>Es un síntoma de que el modelo entrenado con MQLoss no está aprendiendo bien cómo crece la incertidumbre real con el horizonte — la calibración adaptativa por tramo lo corrige externamente (post-hoc), pero no resuelve la causa de fondo dentro del modelo.</w:t>
      </w:r>
    </w:p>
    <w:p w14:paraId="35C831B6" w14:textId="77777777" w:rsidR="00764D11" w:rsidRDefault="00000000">
      <w:r>
        <w:rPr>
          <w:b/>
        </w:rPr>
        <w:t xml:space="preserve">■ Estado de la evidencia: </w:t>
      </w:r>
      <w:r>
        <w:rPr>
          <w:b/>
          <w:color w:val="B91C1C"/>
        </w:rPr>
        <w:t>SIN RESPALDO CLARO -- REVISAR ANTES DE LA ENTREGA FINAL</w:t>
      </w:r>
    </w:p>
    <w:p w14:paraId="5C27E443" w14:textId="77777777" w:rsidR="00764D11" w:rsidRDefault="00000000">
      <w:pPr>
        <w:spacing w:after="80"/>
        <w:ind w:left="227"/>
      </w:pPr>
      <w:r>
        <w:lastRenderedPageBreak/>
        <w:t>El proyecto documenta el síntoma con precisión pero no investigó la causa raíz — pudo ser una limitación arquitectónica de N-BEATSx con MQLoss a horizontes largos, una necesidad de más datos de entrenamiento en el tramo 49-72h, u otra causa. La solución aplicada (CQR adaptativo por tramo) es un parche válido y efectivo, pero no es lo mismo que entender por qué la banda cruda falla de esa forma tan específica.</w:t>
      </w:r>
    </w:p>
    <w:p w14:paraId="016CD3AF" w14:textId="77777777" w:rsidR="00764D11" w:rsidRDefault="00000000">
      <w:pPr>
        <w:ind w:left="227"/>
      </w:pPr>
      <w:r>
        <w:rPr>
          <w:b/>
          <w:color w:val="B91C1C"/>
        </w:rPr>
        <w:t xml:space="preserve">Qué investigar / dónde buscar: </w:t>
      </w:r>
      <w:r>
        <w:rPr>
          <w:i/>
        </w:rPr>
        <w:t>Si hay tiempo, investigar si esto es un problema conocido de MQLoss en horizontes largos dentro de la literatura de neuralforecast/N-BEATSx (revisar issues o discusiones del repositorio de Nixtla, o el paper original de N-BEATSx de Olivares et al. 2023 ya citado en el README, por si menciona limitaciones de MQLoss a horizontes extendidos).</w:t>
      </w:r>
    </w:p>
    <w:p w14:paraId="47017EEC" w14:textId="77777777" w:rsidR="00764D11" w:rsidRDefault="00764D11"/>
    <w:p w14:paraId="1F6EECDE" w14:textId="77777777" w:rsidR="00764D11" w:rsidRDefault="00000000">
      <w:pPr>
        <w:ind w:left="283"/>
      </w:pPr>
      <w:r>
        <w:rPr>
          <w:b/>
          <w:color w:val="B91C1C"/>
        </w:rPr>
        <w:t xml:space="preserve">Conclusión de la sección: </w:t>
      </w:r>
      <w:r>
        <w:rPr>
          <w:i/>
        </w:rPr>
        <w:t>Resumen de la sección 2: la ELECCIÓN DE LA TÉCNICA (cuantiles 80%, CQR, adaptación por ventana móvil) sí tiene respaldo real en la literatura de conformal prediction y pronóstico — el equipo no inventó el método. Lo que NO tiene respaldo es el VALOR EXACTO del parámetro más sensible (30 días de ventana) ni la validación de si 80% es el nivel de intervalo óptimo para el caso de uso de decisión, específicamente. Esa es la brecha más importante que investigar antes de defender el proyecto formalmente.</w:t>
      </w:r>
    </w:p>
    <w:p w14:paraId="7D81CA60" w14:textId="77777777" w:rsidR="00764D11" w:rsidRDefault="00000000">
      <w:pPr>
        <w:pStyle w:val="Ttulo1"/>
      </w:pPr>
      <w:r>
        <w:rPr>
          <w:color w:val="1F4E79"/>
        </w:rPr>
        <w:t>3. El motor de decisión: cada parámetro, uno por uno</w:t>
      </w:r>
    </w:p>
    <w:p w14:paraId="773DBAE2" w14:textId="77777777" w:rsidR="00764D11" w:rsidRDefault="00000000">
      <w:pPr>
        <w:spacing w:before="280"/>
      </w:pPr>
      <w:r>
        <w:rPr>
          <w:b/>
          <w:color w:val="1F4E79"/>
          <w:sz w:val="25"/>
        </w:rPr>
        <w:t>3.1 — Percentiles 25/75 para clasificar el precio como ‘barato’/‘caro’</w:t>
      </w:r>
    </w:p>
    <w:p w14:paraId="1637739B" w14:textId="77777777" w:rsidR="00764D11" w:rsidRDefault="00000000">
      <w:r>
        <w:rPr>
          <w:b/>
        </w:rPr>
        <w:t xml:space="preserve">Decisión / valor exacto: </w:t>
      </w:r>
      <w:r>
        <w:t>p_bajo=25, p_alto=75 por defecto en umbrales_fijos(), generar_senales() y comparar_metodos(); es además el ÚNICO valor permitido en la vista Operador del dashboard (no ajustable ahí).</w:t>
      </w:r>
    </w:p>
    <w:p w14:paraId="685AAC64" w14:textId="77777777" w:rsidR="00764D11" w:rsidRDefault="00000000">
      <w:r>
        <w:rPr>
          <w:b/>
        </w:rPr>
        <w:t xml:space="preserve">Razonamiento: </w:t>
      </w:r>
      <w:r>
        <w:t>El rango intercuartílico (P25-P75) es una convención estadística estándar para separar ‘valores típicos’ de ‘valores extremos’ (es, por ejemplo, la base del criterio clásico de detección de outliers de Tukey).</w:t>
      </w:r>
    </w:p>
    <w:p w14:paraId="7994632C" w14:textId="77777777" w:rsidR="00764D11" w:rsidRDefault="00000000">
      <w:r>
        <w:rPr>
          <w:b/>
        </w:rPr>
        <w:t xml:space="preserve">■ Estado de la evidencia: </w:t>
      </w:r>
      <w:r>
        <w:rPr>
          <w:b/>
          <w:color w:val="B91C1C"/>
        </w:rPr>
        <w:t>SIN RESPALDO CLARO -- REVISAR ANTES DE LA ENTREGA FINAL</w:t>
      </w:r>
    </w:p>
    <w:p w14:paraId="4CAD8FEF" w14:textId="77777777" w:rsidR="00764D11" w:rsidRDefault="00000000">
      <w:pPr>
        <w:spacing w:after="80"/>
        <w:ind w:left="227"/>
      </w:pPr>
      <w:r>
        <w:t>El criterio de Tukey (rango intercuartílico) es real y bien conocido, pero se usa clásicamente para DETECTAR VALORES ATÍPICOS, no para definir umbrales de una REGLA DE TRADING — son problemas relacionados pero no idénticos. No se encontró en el proyecto ninguna prueba que compare P25/P75 contra, por ejemplo, P20/P80 o P30/P70, para ver cuál da mejor ventaja económica en el backtest.</w:t>
      </w:r>
    </w:p>
    <w:p w14:paraId="3977B4E4" w14:textId="77777777" w:rsidR="00764D11" w:rsidRDefault="00000000">
      <w:pPr>
        <w:ind w:left="227"/>
      </w:pPr>
      <w:r>
        <w:rPr>
          <w:b/>
          <w:color w:val="B91C1C"/>
        </w:rPr>
        <w:t xml:space="preserve">Qué investigar / dónde buscar: </w:t>
      </w:r>
      <w:r>
        <w:rPr>
          <w:i/>
        </w:rPr>
        <w:t xml:space="preserve">(1) Correr comparar_metodos() variando p_bajo/p_alto sistemáticamente (ej. 10/90, 20/80, 25/75, 30/70) y graficar la ventaja económica resultante — esto ya es posible con el código existente (la vista Analista del dashboard ya expone este control, solo falta sistematizar la búsqueda). (2) Para respaldo de literatura, buscar específicamente trabajos de ‘detección de picos de precio en mercados eléctricos’ (ej. Christensen, Hurn &amp; Lindsay, 2009, ‘It Never Rains but It Pours: Modeling the Persistence of Spikes in Electricity Prices’, o trabajos de Janczura &amp; Weron sobre modelos de régimen para detección de spikes) — esa literatura sí define umbrales de ‘precio alto’ de </w:t>
      </w:r>
      <w:r>
        <w:rPr>
          <w:i/>
        </w:rPr>
        <w:lastRenderedPageBreak/>
        <w:t>forma más rigurosa (típicamente media + k desviaciones estándar, no percentiles fijos) y podría ser una base más defendible que el percentil simple.</w:t>
      </w:r>
    </w:p>
    <w:p w14:paraId="40636C57" w14:textId="77777777" w:rsidR="00764D11" w:rsidRDefault="00764D11"/>
    <w:p w14:paraId="41401375" w14:textId="77777777" w:rsidR="00764D11" w:rsidRDefault="00000000">
      <w:pPr>
        <w:spacing w:before="280"/>
      </w:pPr>
      <w:r>
        <w:rPr>
          <w:b/>
          <w:color w:val="1F4E79"/>
          <w:sz w:val="25"/>
        </w:rPr>
        <w:t>3.2 — Ventana de 30 días para el método ‘rodante’</w:t>
      </w:r>
    </w:p>
    <w:p w14:paraId="52373EC7" w14:textId="77777777" w:rsidR="00764D11" w:rsidRDefault="00000000">
      <w:r>
        <w:rPr>
          <w:b/>
        </w:rPr>
        <w:t xml:space="preserve">Decisión / valor exacto: </w:t>
      </w:r>
      <w:r>
        <w:t>umbrales_rodantes() usa una ventana móvil causal de 30 días por defecto.</w:t>
      </w:r>
    </w:p>
    <w:p w14:paraId="2C7038E1" w14:textId="77777777" w:rsidR="00764D11" w:rsidRDefault="00000000">
      <w:r>
        <w:rPr>
          <w:b/>
        </w:rPr>
        <w:t xml:space="preserve">Razonamiento: </w:t>
      </w:r>
      <w:r>
        <w:t>Mismo razonamiento y mismo hueco de evidencia que la sección 2.4 — de hecho es literalmente el mismo número, reutilizado.</w:t>
      </w:r>
    </w:p>
    <w:p w14:paraId="6842C862" w14:textId="77777777" w:rsidR="00764D11" w:rsidRDefault="00000000">
      <w:r>
        <w:rPr>
          <w:b/>
        </w:rPr>
        <w:t xml:space="preserve">■ Estado de la evidencia: </w:t>
      </w:r>
      <w:r>
        <w:rPr>
          <w:b/>
          <w:color w:val="B91C1C"/>
        </w:rPr>
        <w:t>SIN RESPALDO CLARO -- REVISAR ANTES DE LA ENTREGA FINAL</w:t>
      </w:r>
    </w:p>
    <w:p w14:paraId="650E3DBA" w14:textId="77777777" w:rsidR="00764D11" w:rsidRDefault="00000000">
      <w:pPr>
        <w:spacing w:after="80"/>
        <w:ind w:left="227"/>
      </w:pPr>
      <w:r>
        <w:t>Ver el análisis completo en la decisión 2.4 — aplica sin cambios aquí.</w:t>
      </w:r>
    </w:p>
    <w:p w14:paraId="6E62F883" w14:textId="77777777" w:rsidR="00764D11" w:rsidRDefault="00000000">
      <w:pPr>
        <w:ind w:left="227"/>
      </w:pPr>
      <w:r>
        <w:rPr>
          <w:b/>
          <w:color w:val="B91C1C"/>
        </w:rPr>
        <w:t xml:space="preserve">Qué investigar / dónde buscar: </w:t>
      </w:r>
      <w:r>
        <w:rPr>
          <w:i/>
        </w:rPr>
        <w:t>Misma prueba de sensibilidad sugerida en 2.4 (7/14/30/60/90 días) serviría para ambos usos a la vez, ya que es el mismo parámetro conceptual.</w:t>
      </w:r>
    </w:p>
    <w:p w14:paraId="65E4A1AA" w14:textId="77777777" w:rsidR="00764D11" w:rsidRDefault="00764D11"/>
    <w:p w14:paraId="0F1ADC24" w14:textId="77777777" w:rsidR="00764D11" w:rsidRDefault="00000000">
      <w:pPr>
        <w:spacing w:before="280"/>
      </w:pPr>
      <w:r>
        <w:rPr>
          <w:b/>
          <w:color w:val="1F4E79"/>
          <w:sz w:val="25"/>
        </w:rPr>
        <w:t>3.3 — Percentil 75 como umbral de ‘banda ancha’ (poca confianza) en el método ‘banda’</w:t>
      </w:r>
    </w:p>
    <w:p w14:paraId="147BFB57" w14:textId="77777777" w:rsidR="00764D11" w:rsidRDefault="00000000">
      <w:r>
        <w:rPr>
          <w:b/>
        </w:rPr>
        <w:t xml:space="preserve">Decisión / valor exacto: </w:t>
      </w:r>
      <w:r>
        <w:t>percentil_ancho_filtro=75: se fuerza ‘esperar’ cuando el ancho [q10,q90] de esa hora está en el 25% de horas con banda más ancha del histórico.</w:t>
      </w:r>
    </w:p>
    <w:p w14:paraId="7365FD29" w14:textId="77777777" w:rsidR="00764D11" w:rsidRDefault="00000000">
      <w:r>
        <w:rPr>
          <w:b/>
        </w:rPr>
        <w:t xml:space="preserve">Razonamiento: </w:t>
      </w:r>
      <w:r>
        <w:t>Un valor intuitivo (‘el cuarto más incierto’) para decidir cuándo el pronóstico es demasiado poco confiable para actuar.</w:t>
      </w:r>
    </w:p>
    <w:p w14:paraId="2AAE15D1" w14:textId="77777777" w:rsidR="00764D11" w:rsidRDefault="00000000">
      <w:r>
        <w:rPr>
          <w:b/>
        </w:rPr>
        <w:t xml:space="preserve">■ Estado de la evidencia: </w:t>
      </w:r>
      <w:r>
        <w:rPr>
          <w:b/>
          <w:color w:val="B91C1C"/>
        </w:rPr>
        <w:t>SIN RESPALDO CLARO -- REVISAR ANTES DE LA ENTREGA FINAL</w:t>
      </w:r>
    </w:p>
    <w:p w14:paraId="7387B995" w14:textId="77777777" w:rsidR="00764D11" w:rsidRDefault="00000000">
      <w:pPr>
        <w:spacing w:after="80"/>
        <w:ind w:left="227"/>
      </w:pPr>
      <w:r>
        <w:t>Igual que 3.1, es una elección de percentil sin una prueba de sensibilidad documentada. Se sabe que el método ‘banda’ gana el backtest en los 4 escenarios evaluados con este valor de 75, pero no se probó si 60, 70, 80 o 90 dan un resultado todavía mejor o peor.</w:t>
      </w:r>
    </w:p>
    <w:p w14:paraId="38E76DFC" w14:textId="77777777" w:rsidR="00764D11" w:rsidRDefault="00000000">
      <w:pPr>
        <w:ind w:left="227"/>
      </w:pPr>
      <w:r>
        <w:rPr>
          <w:b/>
          <w:color w:val="B91C1C"/>
        </w:rPr>
        <w:t xml:space="preserve">Qué investigar / dónde buscar: </w:t>
      </w:r>
      <w:r>
        <w:rPr>
          <w:i/>
        </w:rPr>
        <w:t>Correr comparar_metodos() variando percentil_ancho_filtro (ej. 60, 70, 75, 80, 90) y ver si la ventaja económica del método ‘banda’ mejora con otro valor — es una prueba de una sola línea de código para lanzar, con los datos que ya existen.</w:t>
      </w:r>
    </w:p>
    <w:p w14:paraId="217322E8" w14:textId="77777777" w:rsidR="00764D11" w:rsidRDefault="00764D11"/>
    <w:p w14:paraId="590EE743" w14:textId="77777777" w:rsidR="00764D11" w:rsidRDefault="00000000">
      <w:pPr>
        <w:spacing w:before="280"/>
      </w:pPr>
      <w:r>
        <w:rPr>
          <w:b/>
          <w:color w:val="1F4E79"/>
          <w:sz w:val="25"/>
        </w:rPr>
        <w:t>3.4 — Rango de frecuencia de acción válida: 10%-40%</w:t>
      </w:r>
    </w:p>
    <w:p w14:paraId="2BCACC09" w14:textId="77777777" w:rsidR="00764D11" w:rsidRDefault="00000000">
      <w:r>
        <w:rPr>
          <w:b/>
        </w:rPr>
        <w:t xml:space="preserve">Decisión / valor exacto: </w:t>
      </w:r>
      <w:r>
        <w:t>comparar_metodos() descarta como ‘no válido’ cualquier método cuya señal se active en menos del 10% o más del 40% de las horas.</w:t>
      </w:r>
    </w:p>
    <w:p w14:paraId="1E022ED1" w14:textId="77777777" w:rsidR="00764D11" w:rsidRDefault="00000000">
      <w:r>
        <w:rPr>
          <w:b/>
        </w:rPr>
        <w:t xml:space="preserve">Razonamiento: </w:t>
      </w:r>
      <w:r>
        <w:t>Un método que actúa casi nunca puede mostrar una ventaja promedio artificialmente alta por pura casualidad (pocas muestras); uno que actúa casi siempre no está realmente ‘seleccionando’ buenas horas.</w:t>
      </w:r>
    </w:p>
    <w:p w14:paraId="54CACE95" w14:textId="77777777" w:rsidR="00764D11" w:rsidRDefault="00000000">
      <w:r>
        <w:rPr>
          <w:b/>
        </w:rPr>
        <w:t xml:space="preserve">■ Estado de la evidencia: </w:t>
      </w:r>
      <w:r>
        <w:rPr>
          <w:b/>
          <w:color w:val="B91C1C"/>
        </w:rPr>
        <w:t>SIN RESPALDO CLARO -- REVISAR ANTES DE LA ENTREGA FINAL</w:t>
      </w:r>
    </w:p>
    <w:p w14:paraId="03640EFD" w14:textId="77777777" w:rsidR="00764D11" w:rsidRDefault="00000000">
      <w:pPr>
        <w:spacing w:after="80"/>
        <w:ind w:left="227"/>
      </w:pPr>
      <w:r>
        <w:lastRenderedPageBreak/>
        <w:t>El razonamiento GENERAL (cuidado con reglas que casi nunca o casi siempre disparan) es sólido y bien fundamentado en el sentido común estadístico (relacionado con el problema de ‘overfitting a pocas muestras’), pero los valores EXACTOS 10% y 40% no tienen ni cita externa ni una prueba de sensibilidad propia — pudieron haber sido 5%-50%, o 15%-35%, con una justificación igual de razonable a primera vista.</w:t>
      </w:r>
    </w:p>
    <w:p w14:paraId="309F9FC2" w14:textId="77777777" w:rsidR="00764D11" w:rsidRDefault="00000000">
      <w:pPr>
        <w:ind w:left="227"/>
      </w:pPr>
      <w:r>
        <w:rPr>
          <w:b/>
          <w:color w:val="B91C1C"/>
        </w:rPr>
        <w:t xml:space="preserve">Qué investigar / dónde buscar: </w:t>
      </w:r>
      <w:r>
        <w:rPr>
          <w:i/>
        </w:rPr>
        <w:t>Buscar literatura de evaluación de estrategias de trading algorítmico sobre ‘tasa de activación’ o ‘hit rate’ mínima/máxima razonable (términos de búsqueda: ‘trading strategy activation frequency’, ‘signal frequency optimal trading rule’). Alternativamente, en vez de fijar un rango arbitrario, considerar un criterio más formal como un ratio tipo Sharpe (ventaja económica ajustada por la variabilidad de esa ventaja) que penalice naturalmente la baja frecuencia sin necesitar un corte manual.</w:t>
      </w:r>
    </w:p>
    <w:p w14:paraId="76C09084" w14:textId="77777777" w:rsidR="00764D11" w:rsidRDefault="00764D11"/>
    <w:p w14:paraId="54751D40" w14:textId="77777777" w:rsidR="00764D11" w:rsidRDefault="00000000">
      <w:pPr>
        <w:spacing w:before="280"/>
      </w:pPr>
      <w:r>
        <w:rPr>
          <w:b/>
          <w:color w:val="1F4E79"/>
          <w:sz w:val="25"/>
        </w:rPr>
        <w:t>3.5 — El backtest económico: ‘precio promedio en horas de acción vs. promedio general’</w:t>
      </w:r>
    </w:p>
    <w:p w14:paraId="2BEFFF7C" w14:textId="77777777" w:rsidR="00764D11" w:rsidRDefault="00000000">
      <w:r>
        <w:rPr>
          <w:b/>
        </w:rPr>
        <w:t xml:space="preserve">Decisión / valor exacto: </w:t>
      </w:r>
      <w:r>
        <w:t>evaluar_backtest() no simula un portafolio real — solo compara dos promedios de precio real.</w:t>
      </w:r>
    </w:p>
    <w:p w14:paraId="31290CB8" w14:textId="77777777" w:rsidR="00764D11" w:rsidRDefault="00000000">
      <w:r>
        <w:rPr>
          <w:b/>
        </w:rPr>
        <w:t xml:space="preserve">Razonamiento: </w:t>
      </w:r>
      <w:r>
        <w:t>Es la comprobación más simple posible que aun así usa precio real (no el pronóstico) para validar que la regla identifica horas genuinamente mejores que el promedio.</w:t>
      </w:r>
    </w:p>
    <w:p w14:paraId="0ED9AC10" w14:textId="77777777" w:rsidR="00764D11" w:rsidRDefault="00000000">
      <w:r>
        <w:rPr>
          <w:b/>
        </w:rPr>
        <w:t xml:space="preserve">■ Estado de la evidencia: </w:t>
      </w:r>
      <w:r>
        <w:rPr>
          <w:b/>
          <w:color w:val="B45309"/>
        </w:rPr>
        <w:t>VALIDADO DENTRO DEL PROYECTO (sin cita externa)</w:t>
      </w:r>
    </w:p>
    <w:p w14:paraId="4FAAA4A6" w14:textId="77777777" w:rsidR="00764D11" w:rsidRDefault="00000000">
      <w:pPr>
        <w:spacing w:after="80"/>
        <w:ind w:left="227"/>
      </w:pPr>
      <w:r>
        <w:t>El propio proyecto reconoce explícitamente esta limitación en su documentación (docs/motor_decision_guia.md, sección de limitaciones) — no se presenta como más de lo que es. Es una métrica simple pero honesta, y sí está validada en el sentido de que efectivamente distingue entre métodos mejores y peores en el backtest (banda gana consistentemente sobre fijo/rodante).</w:t>
      </w:r>
    </w:p>
    <w:p w14:paraId="607B4F0B" w14:textId="77777777" w:rsidR="00764D11" w:rsidRDefault="00000000">
      <w:pPr>
        <w:ind w:left="227"/>
      </w:pPr>
      <w:r>
        <w:rPr>
          <w:b/>
          <w:color w:val="B91C1C"/>
        </w:rPr>
        <w:t xml:space="preserve">Qué investigar / dónde buscar: </w:t>
      </w:r>
      <w:r>
        <w:rPr>
          <w:i/>
        </w:rPr>
        <w:t>El propio README ya cita el paper correcto para el siguiente paso: Maciejowska, Lipiecki &amp; Uniejewski (2026, ya usado para Corr-f/MHD/MPD) discute precisamente evaluación económica de pronósticos más allá de MAE/RMSE — vale la pena revisar si ese mismo paper propone también una métrica de backtest más rica que el promedio simple, en vez de construir una nueva desde cero.</w:t>
      </w:r>
    </w:p>
    <w:p w14:paraId="7594318F" w14:textId="77777777" w:rsidR="00764D11" w:rsidRDefault="00764D11"/>
    <w:p w14:paraId="513E2F9D" w14:textId="77777777" w:rsidR="00764D11" w:rsidRDefault="00000000">
      <w:pPr>
        <w:spacing w:before="280"/>
      </w:pPr>
      <w:r>
        <w:rPr>
          <w:b/>
          <w:color w:val="1F4E79"/>
          <w:sz w:val="25"/>
        </w:rPr>
        <w:t>3.6 — Umbrales del chip de confianza en el dashboard: 75% y 40% (percentil del ancho de banda)</w:t>
      </w:r>
    </w:p>
    <w:p w14:paraId="59B56CD4" w14:textId="77777777" w:rsidR="00764D11" w:rsidRDefault="00000000">
      <w:r>
        <w:rPr>
          <w:b/>
        </w:rPr>
        <w:t xml:space="preserve">Decisión / valor exacto: </w:t>
      </w:r>
      <w:r>
        <w:t>nivel_confianza(): si el ancho de banda de esa hora es mayor que el 75% de horas históricas -&gt; ‘baja’; si es mayor que el 40% -&gt; ‘media’; si no, ‘alta’.</w:t>
      </w:r>
    </w:p>
    <w:p w14:paraId="201CF635" w14:textId="77777777" w:rsidR="00764D11" w:rsidRDefault="00000000">
      <w:r>
        <w:rPr>
          <w:b/>
        </w:rPr>
        <w:t xml:space="preserve">Razonamiento: </w:t>
      </w:r>
      <w:r>
        <w:t>División intuitiva en tres tramos (bajo/medio/alto) para comunicar la incertidumbre en lenguaje simple a un usuario no técnico.</w:t>
      </w:r>
    </w:p>
    <w:p w14:paraId="121E0608" w14:textId="77777777" w:rsidR="00764D11" w:rsidRDefault="00000000">
      <w:r>
        <w:rPr>
          <w:b/>
        </w:rPr>
        <w:t xml:space="preserve">■ Estado de la evidencia: </w:t>
      </w:r>
      <w:r>
        <w:rPr>
          <w:b/>
          <w:color w:val="B91C1C"/>
        </w:rPr>
        <w:t>SIN RESPALDO CLARO -- REVISAR ANTES DE LA ENTREGA FINAL</w:t>
      </w:r>
    </w:p>
    <w:p w14:paraId="24DA0BEB" w14:textId="77777777" w:rsidR="00764D11" w:rsidRDefault="00000000">
      <w:pPr>
        <w:spacing w:after="80"/>
        <w:ind w:left="227"/>
      </w:pPr>
      <w:r>
        <w:lastRenderedPageBreak/>
        <w:t>Es una decisión puramente de comunicación/UX, no estadística — no se encontró ninguna prueba que valide si estos cortes (75/40) comunican la incertidumbre de forma más útil que, por ejemplo, dividir en tercios iguales (33/66) o usar los mismos cortes que ya usa el método ‘banda’ (percentil 75) para mantener consistencia interna del sistema.</w:t>
      </w:r>
    </w:p>
    <w:p w14:paraId="5C07F3E3" w14:textId="77777777" w:rsidR="00764D11" w:rsidRDefault="00000000">
      <w:pPr>
        <w:ind w:left="227"/>
      </w:pPr>
      <w:r>
        <w:rPr>
          <w:b/>
          <w:color w:val="B91C1C"/>
        </w:rPr>
        <w:t xml:space="preserve">Qué investigar / dónde buscar: </w:t>
      </w:r>
      <w:r>
        <w:rPr>
          <w:i/>
        </w:rPr>
        <w:t>Esto es más una pregunta de diseño de interfaz que de estadística — si se quiere respaldo formal, revisar literatura de comunicación de incertidumbre a usuarios no expertos (ej. trabajos de David Spiegelhalter sobre comunicación de riesgo e incertidumbre al público general) en vez de literatura de mercados eléctricos.</w:t>
      </w:r>
    </w:p>
    <w:p w14:paraId="38242A2D" w14:textId="77777777" w:rsidR="00764D11" w:rsidRDefault="00764D11"/>
    <w:p w14:paraId="5E72CA9A" w14:textId="77777777" w:rsidR="00764D11" w:rsidRDefault="00000000">
      <w:pPr>
        <w:pStyle w:val="Ttulo1"/>
      </w:pPr>
      <w:r>
        <w:rPr>
          <w:color w:val="1F4E79"/>
        </w:rPr>
        <w:t>4. La lógica del motor, paso a paso, contextualizada por vista y rol</w:t>
      </w:r>
    </w:p>
    <w:p w14:paraId="74D35002" w14:textId="77777777" w:rsidR="00764D11" w:rsidRDefault="00000000">
      <w:r>
        <w:t>Esta sección traza exactamente qué código se ejecuta y con qué parámetros en cada una de las cuatro combinaciones posibles de vista × rol, más el efecto del horizonte.</w:t>
      </w:r>
    </w:p>
    <w:p w14:paraId="69B1434D" w14:textId="77777777" w:rsidR="00764D11" w:rsidRDefault="00000000">
      <w:pPr>
        <w:pStyle w:val="Ttulo2"/>
      </w:pPr>
      <w:r>
        <w:rPr>
          <w:color w:val="1F4E79"/>
        </w:rPr>
        <w:t>4.1 Vista Operador + rol generador</w:t>
      </w:r>
    </w:p>
    <w:p w14:paraId="506FD470" w14:textId="77777777" w:rsidR="00764D11" w:rsidRDefault="00000000">
      <w:pPr>
        <w:pStyle w:val="Listaconnmeros"/>
      </w:pPr>
      <w:r>
        <w:t>El usuario elige día, hora y horizonte (24h/72h); NO puede tocar método ni percentiles.</w:t>
      </w:r>
    </w:p>
    <w:p w14:paraId="6D35A301" w14:textId="77777777" w:rsidR="00764D11" w:rsidRDefault="00000000">
      <w:pPr>
        <w:pStyle w:val="Listaconnmeros"/>
      </w:pPr>
      <w:r>
        <w:t>comparacion(horizonte, 'generador', 25, 75) corre comparar_metodos() con los 3 métodos, SIEMPRE con percentiles fijos en 25/75, y devuelve el método ganador (validado o no según el filtro 10%-40% de la decisión 3.4).</w:t>
      </w:r>
    </w:p>
    <w:p w14:paraId="3DBB40CB" w14:textId="77777777" w:rsidR="00764D11" w:rsidRDefault="00000000">
      <w:pPr>
        <w:pStyle w:val="Listaconnmeros"/>
      </w:pPr>
      <w:r>
        <w:t>generar_senales(bandas, metodo_ganador, 'generador', precio_hist, p_bajo=25, p_alto=75) se corre sobre TODA la serie del horizonte elegido (no solo el día visible).</w:t>
      </w:r>
    </w:p>
    <w:p w14:paraId="53B18715" w14:textId="77777777" w:rsidR="00764D11" w:rsidRDefault="00000000">
      <w:pPr>
        <w:pStyle w:val="Listaconnmeros"/>
      </w:pPr>
      <w:r>
        <w:t>Para el rol generador, la función mapea: precio ≥ percentil 75 → 'vender'; precio ≤ percentil 25 → 'retener'; en medio, o banda ancha si el método es 'banda' → 'esperar'.</w:t>
      </w:r>
    </w:p>
    <w:p w14:paraId="5C981A93" w14:textId="77777777" w:rsidR="00764D11" w:rsidRDefault="00000000">
      <w:pPr>
        <w:pStyle w:val="Listaconnmeros"/>
      </w:pPr>
      <w:r>
        <w:t>La tarjeta grande muestra el resultado para la hora exacta elegida: título en verde (‘DESPACHAR Y VENDER’) si vender, rojo (‘RETENER GENERACIÓN’) si retener, ámbar (‘ESPERAR’) si esperar.</w:t>
      </w:r>
    </w:p>
    <w:p w14:paraId="52407376" w14:textId="77777777" w:rsidR="00764D11" w:rsidRDefault="00000000">
      <w:pPr>
        <w:pStyle w:val="Listaconnmeros"/>
      </w:pPr>
      <w:r>
        <w:t>Los 3 indicadores (horas para actuar, ventaja histórica, frecuencia) se calculan con evaluar_backtest() sobre TODO el periodo del horizonte (2026 completo), no solo el día visible — es un dato histórico fijo, no cambia al mover el día/hora.</w:t>
      </w:r>
    </w:p>
    <w:p w14:paraId="0D9A4B97" w14:textId="77777777" w:rsidR="00764D11" w:rsidRDefault="00000000">
      <w:pPr>
        <w:pStyle w:val="Ttulo2"/>
      </w:pPr>
      <w:r>
        <w:rPr>
          <w:color w:val="1F4E79"/>
        </w:rPr>
        <w:t>4.2 Vista Operador + rol comercializador</w:t>
      </w:r>
    </w:p>
    <w:p w14:paraId="73528B89" w14:textId="77777777" w:rsidR="00764D11" w:rsidRDefault="00000000">
      <w:r>
        <w:t>Idéntico flujo de código al anterior (mismas funciones, mismos percentiles fijos 25/75, mismo backtest), con dos diferencias puntuales en la capa de interpretación:</w:t>
      </w:r>
    </w:p>
    <w:p w14:paraId="40C00300" w14:textId="77777777" w:rsidR="00764D11" w:rsidRDefault="00000000">
      <w:pPr>
        <w:pStyle w:val="Listaconvietas"/>
        <w:ind w:left="283"/>
      </w:pPr>
      <w:r>
        <w:t>En generar_senales(), la rama rol=='comercializador' invierte la lectura: precio ≤ percentil 25 → 'comprar' (no 'retener'); precio ≥ percentil 75 → 'evitar_compra' (no 'vender').</w:t>
      </w:r>
    </w:p>
    <w:p w14:paraId="213FF723" w14:textId="77777777" w:rsidR="00764D11" w:rsidRDefault="00000000">
      <w:pPr>
        <w:pStyle w:val="Listaconvietas"/>
        <w:ind w:left="283"/>
      </w:pPr>
      <w:r>
        <w:t>En evaluar_backtest(), la acción que se mide para la ventaja económica cambia de 'vender' a 'comprar', y el signo de la resta se invierte (precio promedio general menos precio promedio de acción, no al revés) — porque para un comprador, pagar MENOS que el promedio es la ventaja, no pagar más.</w:t>
      </w:r>
    </w:p>
    <w:p w14:paraId="2DF8AEEA" w14:textId="77777777" w:rsidR="00764D11" w:rsidRDefault="00000000">
      <w:pPr>
        <w:ind w:left="283"/>
      </w:pPr>
      <w:r>
        <w:rPr>
          <w:b/>
          <w:color w:val="15803D"/>
        </w:rPr>
        <w:t xml:space="preserve">Punto de diseño clave: </w:t>
      </w:r>
      <w:r>
        <w:rPr>
          <w:i/>
        </w:rPr>
        <w:t xml:space="preserve">este es el punto de diseño más importante de todo el motor: el MISMO pronóstico (mismos q10/q50/q90, mismo día, misma hora) produce dos recomendaciones opuestas y </w:t>
      </w:r>
      <w:r>
        <w:rPr>
          <w:i/>
        </w:rPr>
        <w:lastRenderedPageBreak/>
        <w:t>ambas correctas, simplemente porque generar_senales() y evaluar_backtest() reciben un parámetro rol distinto. No hay dos motores — hay un solo motor con una bifurcación de dos líneas de código.</w:t>
      </w:r>
    </w:p>
    <w:p w14:paraId="385B1F80" w14:textId="77777777" w:rsidR="00764D11" w:rsidRDefault="00000000">
      <w:pPr>
        <w:pStyle w:val="Ttulo2"/>
      </w:pPr>
      <w:r>
        <w:rPr>
          <w:color w:val="1F4E79"/>
        </w:rPr>
        <w:t>4.3 Vista Analista + rol generador</w:t>
      </w:r>
    </w:p>
    <w:p w14:paraId="1AD438D6" w14:textId="77777777" w:rsidR="00764D11" w:rsidRDefault="00000000">
      <w:pPr>
        <w:pStyle w:val="Listaconnmeros"/>
      </w:pPr>
      <w:r>
        <w:t>El usuario puede mover 4 controles que en Operador estaban fijos: método (fijo/rodante/banda), percentiles bajo/alto (slider 5-95), rango de fechas.</w:t>
      </w:r>
    </w:p>
    <w:p w14:paraId="5A951A38" w14:textId="77777777" w:rsidR="00764D11" w:rsidRDefault="00000000">
      <w:pPr>
        <w:pStyle w:val="Listaconnmeros"/>
      </w:pPr>
      <w:r>
        <w:t>comparacion(horizonte, 'generador', p_bajo, p_alto) se recalcula en vivo cada vez que el usuario mueve el slider de percentiles — el método ‘sugerido’ en el selector cambia dinámicamente según cuál gane el backtest con esos percentiles específicos.</w:t>
      </w:r>
    </w:p>
    <w:p w14:paraId="251BC431" w14:textId="77777777" w:rsidR="00764D11" w:rsidRDefault="00000000">
      <w:pPr>
        <w:pStyle w:val="Listaconnmeros"/>
      </w:pPr>
      <w:r>
        <w:t>Si el usuario fuerza manualmente un método distinto al sugerido, generar_senales() se corre igual mith ese método elegido — el sistema no impide elegir un método ‘no válido’, solo lo advierte visualmente.</w:t>
      </w:r>
    </w:p>
    <w:p w14:paraId="35424A38" w14:textId="77777777" w:rsidR="00764D11" w:rsidRDefault="00000000">
      <w:pPr>
        <w:pStyle w:val="Listaconnmeros"/>
      </w:pPr>
      <w:r>
        <w:t>El backtest y la gráfica se recalculan solo sobre el rango de fechas filtrado (inicio, fin), no sobre todo el periodo como en Operador — permite explorar sub-periodos (ej. solo el tramo de El Niño fuerte de 2026).</w:t>
      </w:r>
    </w:p>
    <w:p w14:paraId="4B260595" w14:textId="77777777" w:rsidR="00764D11" w:rsidRDefault="00000000">
      <w:pPr>
        <w:pStyle w:val="Listaconnmeros"/>
      </w:pPr>
      <w:r>
        <w:t>La tabla comparativa completa (los 3 métodos) queda siempre visible en un expander, mostrando ventaja, frecuencia y si cada uno es ‘válido’ según el filtro 10%-40%.</w:t>
      </w:r>
    </w:p>
    <w:p w14:paraId="0CB10AA9" w14:textId="77777777" w:rsidR="00764D11" w:rsidRDefault="00000000">
      <w:pPr>
        <w:pStyle w:val="Ttulo2"/>
      </w:pPr>
      <w:r>
        <w:rPr>
          <w:color w:val="1F4E79"/>
        </w:rPr>
        <w:t>4.4 Vista Analista + rol comercializador</w:t>
      </w:r>
    </w:p>
    <w:p w14:paraId="7EF2AD96" w14:textId="77777777" w:rsidR="00764D11" w:rsidRDefault="00000000">
      <w:r>
        <w:t>Mismos 4 controles y mismo flujo que 4.3, con la misma bifurcación de rol descrita en 4.2 (comprar/evitar_compra en vez de vender/retener, y el signo invertido del backtest). La diferencia práctica más visible entre roles en esta vista es que la columna ‘ventaja económica’ de la tabla comparativa puede dar métodos ganadores DISTINTOS para generador vs. comercializador con los mismos percentiles — porque optimizan sobre acciones opuestas (vender-caro vs. comprar-barato) sobre la misma serie de precios.</w:t>
      </w:r>
    </w:p>
    <w:p w14:paraId="3EFA5C89" w14:textId="77777777" w:rsidR="00764D11" w:rsidRDefault="00000000">
      <w:pPr>
        <w:pStyle w:val="Ttulo2"/>
      </w:pPr>
      <w:r>
        <w:rPr>
          <w:color w:val="1F4E79"/>
        </w:rPr>
        <w:t>4.5 Qué cambia entre horizonte 24h y 72h (aplica a las 4 combinaciones anteriores)</w:t>
      </w:r>
    </w:p>
    <w:p w14:paraId="25BCD627" w14:textId="77777777" w:rsidR="00764D11" w:rsidRDefault="00000000">
      <w:r>
        <w:t>El horizonte NO cambia ninguna línea de lógica del motor — cambia únicamente qué archivo lee cargar_fuente_pronostico() según fuentes_pronostico.json:</w:t>
      </w:r>
    </w:p>
    <w:tbl>
      <w:tblPr>
        <w:tblStyle w:val="Cuadrculaclara-nfasis1"/>
        <w:tblW w:w="0" w:type="auto"/>
        <w:jc w:val="center"/>
        <w:tblLook w:val="04A0" w:firstRow="1" w:lastRow="0" w:firstColumn="1" w:lastColumn="0" w:noHBand="0" w:noVBand="1"/>
      </w:tblPr>
      <w:tblGrid>
        <w:gridCol w:w="1515"/>
        <w:gridCol w:w="4771"/>
        <w:gridCol w:w="2032"/>
        <w:gridCol w:w="1530"/>
      </w:tblGrid>
      <w:tr w:rsidR="00764D11" w14:paraId="0DB6A9C4" w14:textId="77777777" w:rsidTr="00764D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8" w:type="dxa"/>
            <w:shd w:val="clear" w:color="auto" w:fill="1F4E79"/>
          </w:tcPr>
          <w:p w14:paraId="58705C99" w14:textId="77777777" w:rsidR="00764D11" w:rsidRDefault="00000000">
            <w:r>
              <w:rPr>
                <w:color w:val="FFFFFF"/>
              </w:rPr>
              <w:t>Horizonte</w:t>
            </w:r>
          </w:p>
        </w:tc>
        <w:tc>
          <w:tcPr>
            <w:tcW w:w="2408" w:type="dxa"/>
            <w:shd w:val="clear" w:color="auto" w:fill="1F4E79"/>
          </w:tcPr>
          <w:p w14:paraId="699D4FE4" w14:textId="77777777" w:rsidR="00764D11" w:rsidRDefault="00000000">
            <w:pPr>
              <w:cnfStyle w:val="100000000000" w:firstRow="1" w:lastRow="0" w:firstColumn="0" w:lastColumn="0" w:oddVBand="0" w:evenVBand="0" w:oddHBand="0" w:evenHBand="0" w:firstRowFirstColumn="0" w:firstRowLastColumn="0" w:lastRowFirstColumn="0" w:lastRowLastColumn="0"/>
            </w:pPr>
            <w:r>
              <w:rPr>
                <w:color w:val="FFFFFF"/>
              </w:rPr>
              <w:t>Archivo fuente</w:t>
            </w:r>
          </w:p>
        </w:tc>
        <w:tc>
          <w:tcPr>
            <w:tcW w:w="2408" w:type="dxa"/>
            <w:shd w:val="clear" w:color="auto" w:fill="1F4E79"/>
          </w:tcPr>
          <w:p w14:paraId="530ED6C3" w14:textId="77777777" w:rsidR="00764D11" w:rsidRDefault="00000000">
            <w:pPr>
              <w:cnfStyle w:val="100000000000" w:firstRow="1" w:lastRow="0" w:firstColumn="0" w:lastColumn="0" w:oddVBand="0" w:evenVBand="0" w:oddHBand="0" w:evenHBand="0" w:firstRowFirstColumn="0" w:firstRowLastColumn="0" w:lastRowFirstColumn="0" w:lastRowLastColumn="0"/>
            </w:pPr>
            <w:r>
              <w:rPr>
                <w:color w:val="FFFFFF"/>
              </w:rPr>
              <w:t>Modelo</w:t>
            </w:r>
          </w:p>
        </w:tc>
        <w:tc>
          <w:tcPr>
            <w:tcW w:w="2408" w:type="dxa"/>
            <w:shd w:val="clear" w:color="auto" w:fill="1F4E79"/>
          </w:tcPr>
          <w:p w14:paraId="7B51D71F" w14:textId="77777777" w:rsidR="00764D11" w:rsidRDefault="00000000">
            <w:pPr>
              <w:cnfStyle w:val="100000000000" w:firstRow="1" w:lastRow="0" w:firstColumn="0" w:lastColumn="0" w:oddVBand="0" w:evenVBand="0" w:oddHBand="0" w:evenHBand="0" w:firstRowFirstColumn="0" w:firstRowLastColumn="0" w:lastRowFirstColumn="0" w:lastRowLastColumn="0"/>
            </w:pPr>
            <w:r>
              <w:rPr>
                <w:color w:val="FFFFFF"/>
              </w:rPr>
              <w:t>Cobertura medida</w:t>
            </w:r>
          </w:p>
        </w:tc>
      </w:tr>
      <w:tr w:rsidR="00764D11" w14:paraId="1BBF3665"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8" w:type="dxa"/>
          </w:tcPr>
          <w:p w14:paraId="339B6E17" w14:textId="77777777" w:rsidR="00764D11" w:rsidRDefault="00000000">
            <w:r>
              <w:t>24h</w:t>
            </w:r>
          </w:p>
        </w:tc>
        <w:tc>
          <w:tcPr>
            <w:tcW w:w="2408" w:type="dxa"/>
          </w:tcPr>
          <w:p w14:paraId="6CDB306F" w14:textId="77777777" w:rsidR="00764D11" w:rsidRDefault="00000000">
            <w:pPr>
              <w:cnfStyle w:val="000000100000" w:firstRow="0" w:lastRow="0" w:firstColumn="0" w:lastColumn="0" w:oddVBand="0" w:evenVBand="0" w:oddHBand="1" w:evenHBand="0" w:firstRowFirstColumn="0" w:firstRowLastColumn="0" w:lastRowFirstColumn="0" w:lastRowLastColumn="0"/>
            </w:pPr>
            <w:r>
              <w:t>pronostico_con_bandas_2026_adaptativo.csv</w:t>
            </w:r>
          </w:p>
        </w:tc>
        <w:tc>
          <w:tcPr>
            <w:tcW w:w="2408" w:type="dxa"/>
          </w:tcPr>
          <w:p w14:paraId="2FDE087D" w14:textId="77777777" w:rsidR="00764D11" w:rsidRDefault="00000000">
            <w:pPr>
              <w:cnfStyle w:val="000000100000" w:firstRow="0" w:lastRow="0" w:firstColumn="0" w:lastColumn="0" w:oddVBand="0" w:evenVBand="0" w:oddHBand="1" w:evenHBand="0" w:firstRowFirstColumn="0" w:firstRowLastColumn="0" w:lastRowFirstColumn="0" w:lastRowLastColumn="0"/>
            </w:pPr>
            <w:r>
              <w:t>N-BEATSx + CQR adaptativo (ventana 30d)</w:t>
            </w:r>
          </w:p>
        </w:tc>
        <w:tc>
          <w:tcPr>
            <w:tcW w:w="2408" w:type="dxa"/>
          </w:tcPr>
          <w:p w14:paraId="73F8681E" w14:textId="77777777" w:rsidR="00764D11" w:rsidRDefault="00000000">
            <w:pPr>
              <w:cnfStyle w:val="000000100000" w:firstRow="0" w:lastRow="0" w:firstColumn="0" w:lastColumn="0" w:oddVBand="0" w:evenVBand="0" w:oddHBand="1" w:evenHBand="0" w:firstRowFirstColumn="0" w:firstRowLastColumn="0" w:lastRowFirstColumn="0" w:lastRowLastColumn="0"/>
            </w:pPr>
            <w:r>
              <w:t>78.0%</w:t>
            </w:r>
          </w:p>
        </w:tc>
      </w:tr>
      <w:tr w:rsidR="00764D11" w14:paraId="623F97F0"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8" w:type="dxa"/>
          </w:tcPr>
          <w:p w14:paraId="11967EF6" w14:textId="77777777" w:rsidR="00764D11" w:rsidRDefault="00000000">
            <w:r>
              <w:t>72h</w:t>
            </w:r>
          </w:p>
        </w:tc>
        <w:tc>
          <w:tcPr>
            <w:tcW w:w="2408" w:type="dxa"/>
          </w:tcPr>
          <w:p w14:paraId="559154AB" w14:textId="77777777" w:rsidR="00764D11" w:rsidRDefault="00000000">
            <w:pPr>
              <w:cnfStyle w:val="000000010000" w:firstRow="0" w:lastRow="0" w:firstColumn="0" w:lastColumn="0" w:oddVBand="0" w:evenVBand="0" w:oddHBand="0" w:evenHBand="1" w:firstRowFirstColumn="0" w:firstRowLastColumn="0" w:lastRowFirstColumn="0" w:lastRowLastColumn="0"/>
            </w:pPr>
            <w:r>
              <w:t>pronostico_con_bandas_72h_2026_adaptativo.csv</w:t>
            </w:r>
          </w:p>
        </w:tc>
        <w:tc>
          <w:tcPr>
            <w:tcW w:w="2408" w:type="dxa"/>
          </w:tcPr>
          <w:p w14:paraId="436A11E4" w14:textId="77777777" w:rsidR="00764D11" w:rsidRDefault="00000000">
            <w:pPr>
              <w:cnfStyle w:val="000000010000" w:firstRow="0" w:lastRow="0" w:firstColumn="0" w:lastColumn="0" w:oddVBand="0" w:evenVBand="0" w:oddHBand="0" w:evenHBand="1" w:firstRowFirstColumn="0" w:firstRowLastColumn="0" w:lastRowFirstColumn="0" w:lastRowLastColumn="0"/>
            </w:pPr>
            <w:r>
              <w:t>N-BEATSx h=72 (MQLoss+festivos) + CQR adaptativo por tramo</w:t>
            </w:r>
          </w:p>
        </w:tc>
        <w:tc>
          <w:tcPr>
            <w:tcW w:w="2408" w:type="dxa"/>
          </w:tcPr>
          <w:p w14:paraId="573D35A3" w14:textId="77777777" w:rsidR="00764D11" w:rsidRDefault="00000000">
            <w:pPr>
              <w:cnfStyle w:val="000000010000" w:firstRow="0" w:lastRow="0" w:firstColumn="0" w:lastColumn="0" w:oddVBand="0" w:evenVBand="0" w:oddHBand="0" w:evenHBand="1" w:firstRowFirstColumn="0" w:firstRowLastColumn="0" w:lastRowFirstColumn="0" w:lastRowLastColumn="0"/>
            </w:pPr>
            <w:r>
              <w:t>78.1%</w:t>
            </w:r>
          </w:p>
        </w:tc>
      </w:tr>
    </w:tbl>
    <w:p w14:paraId="3CB4B757" w14:textId="77777777" w:rsidR="00764D11" w:rsidRDefault="00764D11"/>
    <w:p w14:paraId="7BEA66AF" w14:textId="77777777" w:rsidR="00764D11" w:rsidRDefault="00000000">
      <w:r>
        <w:t>El resultado del backtest SÍ difiere entre horizontes (ver tabla de la sección 3.5 del informe de avances: ventaja de 345.6/281.6 COP/kWh a 24h vs. 299.7/279.5 a 72h) porque el error real es mayor a 72h y las bandas son más anchas — pero eso es una consecuencia de los datos de entrada, no de un cambio en la lógica del motor.</w:t>
      </w:r>
    </w:p>
    <w:p w14:paraId="6A723EDC" w14:textId="77777777" w:rsidR="00764D11" w:rsidRDefault="00000000">
      <w:pPr>
        <w:pStyle w:val="Ttulo1"/>
      </w:pPr>
      <w:r>
        <w:rPr>
          <w:color w:val="1F4E79"/>
        </w:rPr>
        <w:lastRenderedPageBreak/>
        <w:t>5. Tabla maestra: semáforo de evidencia de todas las decisiones</w:t>
      </w:r>
    </w:p>
    <w:tbl>
      <w:tblPr>
        <w:tblStyle w:val="Cuadrculaclara-nfasis1"/>
        <w:tblW w:w="0" w:type="auto"/>
        <w:jc w:val="center"/>
        <w:tblLook w:val="04A0" w:firstRow="1" w:lastRow="0" w:firstColumn="1" w:lastColumn="0" w:noHBand="0" w:noVBand="1"/>
      </w:tblPr>
      <w:tblGrid>
        <w:gridCol w:w="3211"/>
        <w:gridCol w:w="3211"/>
        <w:gridCol w:w="3211"/>
      </w:tblGrid>
      <w:tr w:rsidR="00764D11" w14:paraId="721DDC53" w14:textId="77777777" w:rsidTr="00764D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shd w:val="clear" w:color="auto" w:fill="1F4E79"/>
          </w:tcPr>
          <w:p w14:paraId="3BE25E5B" w14:textId="77777777" w:rsidR="00764D11" w:rsidRDefault="00000000">
            <w:r>
              <w:rPr>
                <w:color w:val="FFFFFF"/>
              </w:rPr>
              <w:t>#</w:t>
            </w:r>
          </w:p>
        </w:tc>
        <w:tc>
          <w:tcPr>
            <w:tcW w:w="3211" w:type="dxa"/>
            <w:shd w:val="clear" w:color="auto" w:fill="1F4E79"/>
          </w:tcPr>
          <w:p w14:paraId="764A9A21" w14:textId="77777777" w:rsidR="00764D11" w:rsidRDefault="00000000">
            <w:pPr>
              <w:cnfStyle w:val="100000000000" w:firstRow="1" w:lastRow="0" w:firstColumn="0" w:lastColumn="0" w:oddVBand="0" w:evenVBand="0" w:oddHBand="0" w:evenHBand="0" w:firstRowFirstColumn="0" w:firstRowLastColumn="0" w:lastRowFirstColumn="0" w:lastRowLastColumn="0"/>
            </w:pPr>
            <w:r>
              <w:rPr>
                <w:color w:val="FFFFFF"/>
              </w:rPr>
              <w:t>Decisión</w:t>
            </w:r>
          </w:p>
        </w:tc>
        <w:tc>
          <w:tcPr>
            <w:tcW w:w="3211" w:type="dxa"/>
            <w:shd w:val="clear" w:color="auto" w:fill="1F4E79"/>
          </w:tcPr>
          <w:p w14:paraId="2707D25C" w14:textId="77777777" w:rsidR="00764D11" w:rsidRDefault="00000000">
            <w:pPr>
              <w:cnfStyle w:val="100000000000" w:firstRow="1" w:lastRow="0" w:firstColumn="0" w:lastColumn="0" w:oddVBand="0" w:evenVBand="0" w:oddHBand="0" w:evenHBand="0" w:firstRowFirstColumn="0" w:firstRowLastColumn="0" w:lastRowFirstColumn="0" w:lastRowLastColumn="0"/>
            </w:pPr>
            <w:r>
              <w:rPr>
                <w:color w:val="FFFFFF"/>
              </w:rPr>
              <w:t>Estado</w:t>
            </w:r>
          </w:p>
        </w:tc>
      </w:tr>
      <w:tr w:rsidR="00764D11" w14:paraId="0D1DB5E1"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7E9A523C" w14:textId="77777777" w:rsidR="00764D11" w:rsidRDefault="00000000">
            <w:r>
              <w:t>1.1</w:t>
            </w:r>
          </w:p>
        </w:tc>
        <w:tc>
          <w:tcPr>
            <w:tcW w:w="3211" w:type="dxa"/>
          </w:tcPr>
          <w:p w14:paraId="0151D232" w14:textId="77777777" w:rsidR="00764D11" w:rsidRDefault="00000000">
            <w:pPr>
              <w:cnfStyle w:val="000000100000" w:firstRow="0" w:lastRow="0" w:firstColumn="0" w:lastColumn="0" w:oddVBand="0" w:evenVBand="0" w:oddHBand="1" w:evenHBand="0" w:firstRowFirstColumn="0" w:firstRowLastColumn="0" w:lastRowFirstColumn="0" w:lastRowLastColumn="0"/>
            </w:pPr>
            <w:r>
              <w:t>Sincronización horaria</w:t>
            </w:r>
          </w:p>
        </w:tc>
        <w:tc>
          <w:tcPr>
            <w:tcW w:w="3211" w:type="dxa"/>
          </w:tcPr>
          <w:p w14:paraId="3AF96829" w14:textId="77777777" w:rsidR="00764D11" w:rsidRDefault="00000000">
            <w:pPr>
              <w:cnfStyle w:val="000000100000" w:firstRow="0" w:lastRow="0" w:firstColumn="0" w:lastColumn="0" w:oddVBand="0" w:evenVBand="0" w:oddHBand="1" w:evenHBand="0" w:firstRowFirstColumn="0" w:firstRowLastColumn="0" w:lastRowFirstColumn="0" w:lastRowLastColumn="0"/>
            </w:pPr>
            <w:r>
              <w:t>INTERNO</w:t>
            </w:r>
          </w:p>
        </w:tc>
      </w:tr>
      <w:tr w:rsidR="00764D11" w14:paraId="4B57D72E"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47D73488" w14:textId="77777777" w:rsidR="00764D11" w:rsidRDefault="00000000">
            <w:r>
              <w:t>1.2</w:t>
            </w:r>
          </w:p>
        </w:tc>
        <w:tc>
          <w:tcPr>
            <w:tcW w:w="3211" w:type="dxa"/>
          </w:tcPr>
          <w:p w14:paraId="26071D4D" w14:textId="77777777" w:rsidR="00764D11" w:rsidRDefault="00000000">
            <w:pPr>
              <w:cnfStyle w:val="000000010000" w:firstRow="0" w:lastRow="0" w:firstColumn="0" w:lastColumn="0" w:oddVBand="0" w:evenVBand="0" w:oddHBand="0" w:evenHBand="1" w:firstRowFirstColumn="0" w:firstRowLastColumn="0" w:lastRowFirstColumn="0" w:lastRowLastColumn="0"/>
            </w:pPr>
            <w:r>
              <w:t>Interpolación lineal de hidrología</w:t>
            </w:r>
          </w:p>
        </w:tc>
        <w:tc>
          <w:tcPr>
            <w:tcW w:w="3211" w:type="dxa"/>
          </w:tcPr>
          <w:p w14:paraId="79FBC8EB" w14:textId="77777777" w:rsidR="00764D11" w:rsidRDefault="00000000">
            <w:pPr>
              <w:cnfStyle w:val="000000010000" w:firstRow="0" w:lastRow="0" w:firstColumn="0" w:lastColumn="0" w:oddVBand="0" w:evenVBand="0" w:oddHBand="0" w:evenHBand="1" w:firstRowFirstColumn="0" w:firstRowLastColumn="0" w:lastRowFirstColumn="0" w:lastRowLastColumn="0"/>
            </w:pPr>
            <w:r>
              <w:t>INTERNO (ablación)</w:t>
            </w:r>
          </w:p>
        </w:tc>
      </w:tr>
      <w:tr w:rsidR="00764D11" w14:paraId="1ED41196"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03E6EAA3" w14:textId="77777777" w:rsidR="00764D11" w:rsidRDefault="00000000">
            <w:r>
              <w:t>1.3</w:t>
            </w:r>
          </w:p>
        </w:tc>
        <w:tc>
          <w:tcPr>
            <w:tcW w:w="3211" w:type="dxa"/>
          </w:tcPr>
          <w:p w14:paraId="4CC42A68" w14:textId="77777777" w:rsidR="00764D11" w:rsidRDefault="00000000">
            <w:pPr>
              <w:cnfStyle w:val="000000100000" w:firstRow="0" w:lastRow="0" w:firstColumn="0" w:lastColumn="0" w:oddVBand="0" w:evenVBand="0" w:oddHBand="1" w:evenHBand="0" w:firstRowFirstColumn="0" w:firstRowLastColumn="0" w:lastRowFirstColumn="0" w:lastRowLastColumn="0"/>
            </w:pPr>
            <w:r>
              <w:t>Rampa causal de ONI</w:t>
            </w:r>
          </w:p>
        </w:tc>
        <w:tc>
          <w:tcPr>
            <w:tcW w:w="3211" w:type="dxa"/>
          </w:tcPr>
          <w:p w14:paraId="1C9BC4A8" w14:textId="77777777" w:rsidR="00764D11" w:rsidRDefault="00000000">
            <w:pPr>
              <w:cnfStyle w:val="000000100000" w:firstRow="0" w:lastRow="0" w:firstColumn="0" w:lastColumn="0" w:oddVBand="0" w:evenVBand="0" w:oddHBand="1" w:evenHBand="0" w:firstRowFirstColumn="0" w:firstRowLastColumn="0" w:lastRowFirstColumn="0" w:lastRowLastColumn="0"/>
            </w:pPr>
            <w:r>
              <w:t>INTERNO (ablación)</w:t>
            </w:r>
          </w:p>
        </w:tc>
      </w:tr>
      <w:tr w:rsidR="00764D11" w14:paraId="1E788B71"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48B375F1" w14:textId="77777777" w:rsidR="00764D11" w:rsidRDefault="00000000">
            <w:r>
              <w:t>1.4</w:t>
            </w:r>
          </w:p>
        </w:tc>
        <w:tc>
          <w:tcPr>
            <w:tcW w:w="3211" w:type="dxa"/>
          </w:tcPr>
          <w:p w14:paraId="27C07F36" w14:textId="77777777" w:rsidR="00764D11" w:rsidRDefault="00000000">
            <w:pPr>
              <w:cnfStyle w:val="000000010000" w:firstRow="0" w:lastRow="0" w:firstColumn="0" w:lastColumn="0" w:oddVBand="0" w:evenVBand="0" w:oddHBand="0" w:evenHBand="1" w:firstRowFirstColumn="0" w:firstRowLastColumn="0" w:lastRowFirstColumn="0" w:lastRowLastColumn="0"/>
            </w:pPr>
            <w:r>
              <w:t>Excluir demanda/generación contemporáneas</w:t>
            </w:r>
          </w:p>
        </w:tc>
        <w:tc>
          <w:tcPr>
            <w:tcW w:w="3211" w:type="dxa"/>
          </w:tcPr>
          <w:p w14:paraId="1EDCFA3C" w14:textId="77777777" w:rsidR="00764D11" w:rsidRDefault="00000000">
            <w:pPr>
              <w:cnfStyle w:val="000000010000" w:firstRow="0" w:lastRow="0" w:firstColumn="0" w:lastColumn="0" w:oddVBand="0" w:evenVBand="0" w:oddHBand="0" w:evenHBand="1" w:firstRowFirstColumn="0" w:firstRowLastColumn="0" w:lastRowFirstColumn="0" w:lastRowLastColumn="0"/>
            </w:pPr>
            <w:r>
              <w:t>RESPALDADO (Weron 2014 — falta citar)</w:t>
            </w:r>
          </w:p>
        </w:tc>
      </w:tr>
      <w:tr w:rsidR="00764D11" w14:paraId="6BC45824"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118A3802" w14:textId="77777777" w:rsidR="00764D11" w:rsidRDefault="00000000">
            <w:r>
              <w:t>1.5</w:t>
            </w:r>
          </w:p>
        </w:tc>
        <w:tc>
          <w:tcPr>
            <w:tcW w:w="3211" w:type="dxa"/>
          </w:tcPr>
          <w:p w14:paraId="7E9362EA" w14:textId="77777777" w:rsidR="00764D11" w:rsidRDefault="00000000">
            <w:pPr>
              <w:cnfStyle w:val="000000100000" w:firstRow="0" w:lastRow="0" w:firstColumn="0" w:lastColumn="0" w:oddVBand="0" w:evenVBand="0" w:oddHBand="1" w:evenHBand="0" w:firstRowFirstColumn="0" w:firstRowLastColumn="0" w:lastRowFirstColumn="0" w:lastRowLastColumn="0"/>
            </w:pPr>
            <w:r>
              <w:t>Rezagos 24h/168h</w:t>
            </w:r>
          </w:p>
        </w:tc>
        <w:tc>
          <w:tcPr>
            <w:tcW w:w="3211" w:type="dxa"/>
          </w:tcPr>
          <w:p w14:paraId="7746A211" w14:textId="77777777" w:rsidR="00764D11" w:rsidRDefault="00000000">
            <w:pPr>
              <w:cnfStyle w:val="000000100000" w:firstRow="0" w:lastRow="0" w:firstColumn="0" w:lastColumn="0" w:oddVBand="0" w:evenVBand="0" w:oddHBand="1" w:evenHBand="0" w:firstRowFirstColumn="0" w:firstRowLastColumn="0" w:lastRowFirstColumn="0" w:lastRowLastColumn="0"/>
            </w:pPr>
            <w:r>
              <w:t>RESPALDADO (Weron 2014, Lago et al. 2021)</w:t>
            </w:r>
          </w:p>
        </w:tc>
      </w:tr>
      <w:tr w:rsidR="00764D11" w14:paraId="3BAFCCE0"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6676418E" w14:textId="77777777" w:rsidR="00764D11" w:rsidRDefault="00000000">
            <w:r>
              <w:t>1.6</w:t>
            </w:r>
          </w:p>
        </w:tc>
        <w:tc>
          <w:tcPr>
            <w:tcW w:w="3211" w:type="dxa"/>
          </w:tcPr>
          <w:p w14:paraId="61BDD4C0" w14:textId="77777777" w:rsidR="00764D11" w:rsidRDefault="00000000">
            <w:pPr>
              <w:cnfStyle w:val="000000010000" w:firstRow="0" w:lastRow="0" w:firstColumn="0" w:lastColumn="0" w:oddVBand="0" w:evenVBand="0" w:oddHBand="0" w:evenHBand="1" w:firstRowFirstColumn="0" w:firstRowLastColumn="0" w:lastRowFirstColumn="0" w:lastRowLastColumn="0"/>
            </w:pPr>
            <w:r>
              <w:t>Rezago ~7d para aportes hídricos</w:t>
            </w:r>
          </w:p>
        </w:tc>
        <w:tc>
          <w:tcPr>
            <w:tcW w:w="3211" w:type="dxa"/>
          </w:tcPr>
          <w:p w14:paraId="4A97C6BB" w14:textId="77777777" w:rsidR="00764D11" w:rsidRDefault="00000000">
            <w:pPr>
              <w:cnfStyle w:val="000000010000" w:firstRow="0" w:lastRow="0" w:firstColumn="0" w:lastColumn="0" w:oddVBand="0" w:evenVBand="0" w:oddHBand="0" w:evenHBand="1" w:firstRowFirstColumn="0" w:firstRowLastColumn="0" w:lastRowFirstColumn="0" w:lastRowLastColumn="0"/>
            </w:pPr>
            <w:r>
              <w:t>INTERNO (correlación cruzada propia)</w:t>
            </w:r>
          </w:p>
        </w:tc>
      </w:tr>
      <w:tr w:rsidR="00764D11" w14:paraId="72DBDEEA"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62537827" w14:textId="77777777" w:rsidR="00764D11" w:rsidRDefault="00000000">
            <w:r>
              <w:t>1.7</w:t>
            </w:r>
          </w:p>
        </w:tc>
        <w:tc>
          <w:tcPr>
            <w:tcW w:w="3211" w:type="dxa"/>
          </w:tcPr>
          <w:p w14:paraId="373554A6" w14:textId="77777777" w:rsidR="00764D11" w:rsidRDefault="00000000">
            <w:pPr>
              <w:cnfStyle w:val="000000100000" w:firstRow="0" w:lastRow="0" w:firstColumn="0" w:lastColumn="0" w:oddVBand="0" w:evenVBand="0" w:oddHBand="1" w:evenHBand="0" w:firstRowFirstColumn="0" w:firstRowLastColumn="0" w:lastRowFirstColumn="0" w:lastRowLastColumn="0"/>
            </w:pPr>
            <w:r>
              <w:t>Log-transform del precio</w:t>
            </w:r>
          </w:p>
        </w:tc>
        <w:tc>
          <w:tcPr>
            <w:tcW w:w="3211" w:type="dxa"/>
          </w:tcPr>
          <w:p w14:paraId="13FD2E0A" w14:textId="77777777" w:rsidR="00764D11" w:rsidRDefault="00000000">
            <w:pPr>
              <w:cnfStyle w:val="000000100000" w:firstRow="0" w:lastRow="0" w:firstColumn="0" w:lastColumn="0" w:oddVBand="0" w:evenVBand="0" w:oddHBand="1" w:evenHBand="0" w:firstRowFirstColumn="0" w:firstRowLastColumn="0" w:lastRowFirstColumn="0" w:lastRowLastColumn="0"/>
            </w:pPr>
            <w:r>
              <w:t>RESPALDADO (Uniejewski, Weron &amp; Ziel 2018 — falta citar)</w:t>
            </w:r>
          </w:p>
        </w:tc>
      </w:tr>
      <w:tr w:rsidR="00764D11" w14:paraId="09452C08"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7803BA6E" w14:textId="77777777" w:rsidR="00764D11" w:rsidRDefault="00000000">
            <w:r>
              <w:t>1.8</w:t>
            </w:r>
          </w:p>
        </w:tc>
        <w:tc>
          <w:tcPr>
            <w:tcW w:w="3211" w:type="dxa"/>
          </w:tcPr>
          <w:p w14:paraId="4213FEE1" w14:textId="77777777" w:rsidR="00764D11" w:rsidRDefault="00000000">
            <w:pPr>
              <w:cnfStyle w:val="000000010000" w:firstRow="0" w:lastRow="0" w:firstColumn="0" w:lastColumn="0" w:oddVBand="0" w:evenVBand="0" w:oddHBand="0" w:evenHBand="1" w:firstRowFirstColumn="0" w:firstRowLastColumn="0" w:lastRowFirstColumn="0" w:lastRowLastColumn="0"/>
            </w:pPr>
            <w:r>
              <w:t>Estandarización de exógenas (redes)</w:t>
            </w:r>
          </w:p>
        </w:tc>
        <w:tc>
          <w:tcPr>
            <w:tcW w:w="3211" w:type="dxa"/>
          </w:tcPr>
          <w:p w14:paraId="1425CD64" w14:textId="77777777" w:rsidR="00764D11" w:rsidRDefault="00000000">
            <w:pPr>
              <w:cnfStyle w:val="000000010000" w:firstRow="0" w:lastRow="0" w:firstColumn="0" w:lastColumn="0" w:oddVBand="0" w:evenVBand="0" w:oddHBand="0" w:evenHBand="1" w:firstRowFirstColumn="0" w:firstRowLastColumn="0" w:lastRowFirstColumn="0" w:lastRowLastColumn="0"/>
            </w:pPr>
            <w:r>
              <w:t>RESPALDADO (práctica estándar de deep learning)</w:t>
            </w:r>
          </w:p>
        </w:tc>
      </w:tr>
      <w:tr w:rsidR="00764D11" w14:paraId="72F9ADBE"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3DB6D2F2" w14:textId="77777777" w:rsidR="00764D11" w:rsidRDefault="00000000">
            <w:r>
              <w:t>1.9</w:t>
            </w:r>
          </w:p>
        </w:tc>
        <w:tc>
          <w:tcPr>
            <w:tcW w:w="3211" w:type="dxa"/>
          </w:tcPr>
          <w:p w14:paraId="29C775EB" w14:textId="77777777" w:rsidR="00764D11" w:rsidRDefault="00000000">
            <w:pPr>
              <w:cnfStyle w:val="000000100000" w:firstRow="0" w:lastRow="0" w:firstColumn="0" w:lastColumn="0" w:oddVBand="0" w:evenVBand="0" w:oddHBand="1" w:evenHBand="0" w:firstRowFirstColumn="0" w:firstRowLastColumn="0" w:lastRowFirstColumn="0" w:lastRowLastColumn="0"/>
            </w:pPr>
            <w:r>
              <w:t>Armónicos seno/coseno de calendario</w:t>
            </w:r>
          </w:p>
        </w:tc>
        <w:tc>
          <w:tcPr>
            <w:tcW w:w="3211" w:type="dxa"/>
          </w:tcPr>
          <w:p w14:paraId="64037057" w14:textId="77777777" w:rsidR="00764D11" w:rsidRDefault="00000000">
            <w:pPr>
              <w:cnfStyle w:val="000000100000" w:firstRow="0" w:lastRow="0" w:firstColumn="0" w:lastColumn="0" w:oddVBand="0" w:evenVBand="0" w:oddHBand="1" w:evenHBand="0" w:firstRowFirstColumn="0" w:firstRowLastColumn="0" w:lastRowFirstColumn="0" w:lastRowLastColumn="0"/>
            </w:pPr>
            <w:r>
              <w:t>RESPALDADO (Hyndman &amp; Athanasopoulos — falta citar)</w:t>
            </w:r>
          </w:p>
        </w:tc>
      </w:tr>
      <w:tr w:rsidR="00764D11" w14:paraId="4479210C"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6F8B40B1" w14:textId="77777777" w:rsidR="00764D11" w:rsidRDefault="00000000">
            <w:r>
              <w:t>1.10</w:t>
            </w:r>
          </w:p>
        </w:tc>
        <w:tc>
          <w:tcPr>
            <w:tcW w:w="3211" w:type="dxa"/>
          </w:tcPr>
          <w:p w14:paraId="4C3DAB14" w14:textId="77777777" w:rsidR="00764D11" w:rsidRDefault="00000000">
            <w:pPr>
              <w:cnfStyle w:val="000000010000" w:firstRow="0" w:lastRow="0" w:firstColumn="0" w:lastColumn="0" w:oddVBand="0" w:evenVBand="0" w:oddHBand="0" w:evenHBand="1" w:firstRowFirstColumn="0" w:firstRowLastColumn="0" w:lastRowFirstColumn="0" w:lastRowLastColumn="0"/>
            </w:pPr>
            <w:r>
              <w:t>Variable indicadora de pandemia</w:t>
            </w:r>
          </w:p>
        </w:tc>
        <w:tc>
          <w:tcPr>
            <w:tcW w:w="3211" w:type="dxa"/>
          </w:tcPr>
          <w:p w14:paraId="74D903F1" w14:textId="77777777" w:rsidR="00764D11" w:rsidRDefault="00000000">
            <w:pPr>
              <w:cnfStyle w:val="000000010000" w:firstRow="0" w:lastRow="0" w:firstColumn="0" w:lastColumn="0" w:oddVBand="0" w:evenVBand="0" w:oddHBand="0" w:evenHBand="1" w:firstRowFirstColumn="0" w:firstRowLastColumn="0" w:lastRowFirstColumn="0" w:lastRowLastColumn="0"/>
            </w:pPr>
            <w:r>
              <w:t>INTERNO (razonable, sin prueba comparativa propia)</w:t>
            </w:r>
          </w:p>
        </w:tc>
      </w:tr>
      <w:tr w:rsidR="00764D11" w14:paraId="0CEA850A"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75F5A3CB" w14:textId="77777777" w:rsidR="00764D11" w:rsidRDefault="00000000">
            <w:r>
              <w:t>1.11</w:t>
            </w:r>
          </w:p>
        </w:tc>
        <w:tc>
          <w:tcPr>
            <w:tcW w:w="3211" w:type="dxa"/>
          </w:tcPr>
          <w:p w14:paraId="6B99AC2A" w14:textId="77777777" w:rsidR="00764D11" w:rsidRDefault="00000000">
            <w:pPr>
              <w:cnfStyle w:val="000000100000" w:firstRow="0" w:lastRow="0" w:firstColumn="0" w:lastColumn="0" w:oddVBand="0" w:evenVBand="0" w:oddHBand="1" w:evenHBand="0" w:firstRowFirstColumn="0" w:firstRowLastColumn="0" w:lastRowFirstColumn="0" w:lastRowLastColumn="0"/>
            </w:pPr>
            <w:r>
              <w:t>Ventana 2019-2025 (excluir 2015-2018)</w:t>
            </w:r>
          </w:p>
        </w:tc>
        <w:tc>
          <w:tcPr>
            <w:tcW w:w="3211" w:type="dxa"/>
          </w:tcPr>
          <w:p w14:paraId="016EA632" w14:textId="77777777" w:rsidR="00764D11" w:rsidRDefault="00000000">
            <w:pPr>
              <w:cnfStyle w:val="000000100000" w:firstRow="0" w:lastRow="0" w:firstColumn="0" w:lastColumn="0" w:oddVBand="0" w:evenVBand="0" w:oddHBand="1" w:evenHBand="0" w:firstRowFirstColumn="0" w:firstRowLastColumn="0" w:lastRowFirstColumn="0" w:lastRowLastColumn="0"/>
            </w:pPr>
            <w:r>
              <w:t>INTERNO (parcial — solo se probó 2017-2018)</w:t>
            </w:r>
          </w:p>
        </w:tc>
      </w:tr>
      <w:tr w:rsidR="00764D11" w14:paraId="28169060"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1BFE7EF1" w14:textId="77777777" w:rsidR="00764D11" w:rsidRDefault="00000000">
            <w:r>
              <w:t>1.12</w:t>
            </w:r>
          </w:p>
        </w:tc>
        <w:tc>
          <w:tcPr>
            <w:tcW w:w="3211" w:type="dxa"/>
          </w:tcPr>
          <w:p w14:paraId="0D58AC46" w14:textId="77777777" w:rsidR="00764D11" w:rsidRDefault="00000000">
            <w:pPr>
              <w:cnfStyle w:val="000000010000" w:firstRow="0" w:lastRow="0" w:firstColumn="0" w:lastColumn="0" w:oddVBand="0" w:evenVBand="0" w:oddHBand="0" w:evenHBand="1" w:firstRowFirstColumn="0" w:firstRowLastColumn="0" w:lastRowFirstColumn="0" w:lastRowLastColumn="0"/>
            </w:pPr>
            <w:r>
              <w:t>Descarte de variable H/T y 9/12 variables nuevas</w:t>
            </w:r>
          </w:p>
        </w:tc>
        <w:tc>
          <w:tcPr>
            <w:tcW w:w="3211" w:type="dxa"/>
          </w:tcPr>
          <w:p w14:paraId="1DD5A48E" w14:textId="77777777" w:rsidR="00764D11" w:rsidRDefault="00000000">
            <w:pPr>
              <w:cnfStyle w:val="000000010000" w:firstRow="0" w:lastRow="0" w:firstColumn="0" w:lastColumn="0" w:oddVBand="0" w:evenVBand="0" w:oddHBand="0" w:evenHBand="1" w:firstRowFirstColumn="0" w:firstRowLastColumn="0" w:lastRowFirstColumn="0" w:lastRowLastColumn="0"/>
            </w:pPr>
            <w:r>
              <w:t>INTERNO (correlación parcial, riguroso)</w:t>
            </w:r>
          </w:p>
        </w:tc>
      </w:tr>
      <w:tr w:rsidR="00764D11" w14:paraId="4C4D43B8"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04AD783A" w14:textId="77777777" w:rsidR="00764D11" w:rsidRDefault="00000000">
            <w:r>
              <w:t>1.13</w:t>
            </w:r>
          </w:p>
        </w:tc>
        <w:tc>
          <w:tcPr>
            <w:tcW w:w="3211" w:type="dxa"/>
          </w:tcPr>
          <w:p w14:paraId="0DE9ED87" w14:textId="77777777" w:rsidR="00764D11" w:rsidRDefault="00000000">
            <w:pPr>
              <w:cnfStyle w:val="000000100000" w:firstRow="0" w:lastRow="0" w:firstColumn="0" w:lastColumn="0" w:oddVBand="0" w:evenVBand="0" w:oddHBand="1" w:evenHBand="0" w:firstRowFirstColumn="0" w:firstRowLastColumn="0" w:lastRowFirstColumn="0" w:lastRowLastColumn="0"/>
            </w:pPr>
            <w:r>
              <w:t>Festivos colombianos como variable</w:t>
            </w:r>
          </w:p>
        </w:tc>
        <w:tc>
          <w:tcPr>
            <w:tcW w:w="3211" w:type="dxa"/>
          </w:tcPr>
          <w:p w14:paraId="624A0276" w14:textId="77777777" w:rsidR="00764D11" w:rsidRDefault="00000000">
            <w:pPr>
              <w:cnfStyle w:val="000000100000" w:firstRow="0" w:lastRow="0" w:firstColumn="0" w:lastColumn="0" w:oddVBand="0" w:evenVBand="0" w:oddHBand="1" w:evenHBand="0" w:firstRowFirstColumn="0" w:firstRowLastColumn="0" w:lastRowFirstColumn="0" w:lastRowLastColumn="0"/>
            </w:pPr>
            <w:r>
              <w:t>RESPALDADO (t=5.22, p=0.0064, propio del proyecto)</w:t>
            </w:r>
          </w:p>
        </w:tc>
      </w:tr>
      <w:tr w:rsidR="00764D11" w14:paraId="45801B0D"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4B2BB9B8" w14:textId="77777777" w:rsidR="00764D11" w:rsidRDefault="00000000">
            <w:r>
              <w:t>2.1</w:t>
            </w:r>
          </w:p>
        </w:tc>
        <w:tc>
          <w:tcPr>
            <w:tcW w:w="3211" w:type="dxa"/>
          </w:tcPr>
          <w:p w14:paraId="67809372" w14:textId="77777777" w:rsidR="00764D11" w:rsidRDefault="00000000">
            <w:pPr>
              <w:cnfStyle w:val="000000010000" w:firstRow="0" w:lastRow="0" w:firstColumn="0" w:lastColumn="0" w:oddVBand="0" w:evenVBand="0" w:oddHBand="0" w:evenHBand="1" w:firstRowFirstColumn="0" w:firstRowLastColumn="0" w:lastRowFirstColumn="0" w:lastRowLastColumn="0"/>
            </w:pPr>
            <w:r>
              <w:t>Intervalo 80% (q10/q50/q90)</w:t>
            </w:r>
          </w:p>
        </w:tc>
        <w:tc>
          <w:tcPr>
            <w:tcW w:w="3211" w:type="dxa"/>
          </w:tcPr>
          <w:p w14:paraId="4AA560D1" w14:textId="77777777" w:rsidR="00764D11" w:rsidRDefault="00000000">
            <w:pPr>
              <w:cnfStyle w:val="000000010000" w:firstRow="0" w:lastRow="0" w:firstColumn="0" w:lastColumn="0" w:oddVBand="0" w:evenVBand="0" w:oddHBand="0" w:evenHBand="1" w:firstRowFirstColumn="0" w:firstRowLastColumn="0" w:lastRowFirstColumn="0" w:lastRowLastColumn="0"/>
            </w:pPr>
            <w:r>
              <w:t>RESPALDADO como convención, SIN validar para el caso de uso</w:t>
            </w:r>
          </w:p>
        </w:tc>
      </w:tr>
      <w:tr w:rsidR="00764D11" w14:paraId="654564FD"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5E9A957E" w14:textId="77777777" w:rsidR="00764D11" w:rsidRDefault="00000000">
            <w:r>
              <w:t>2.2</w:t>
            </w:r>
          </w:p>
        </w:tc>
        <w:tc>
          <w:tcPr>
            <w:tcW w:w="3211" w:type="dxa"/>
          </w:tcPr>
          <w:p w14:paraId="6B65DF75" w14:textId="77777777" w:rsidR="00764D11" w:rsidRDefault="00000000">
            <w:pPr>
              <w:cnfStyle w:val="000000100000" w:firstRow="0" w:lastRow="0" w:firstColumn="0" w:lastColumn="0" w:oddVBand="0" w:evenVBand="0" w:oddHBand="1" w:evenHBand="0" w:firstRowFirstColumn="0" w:firstRowLastColumn="0" w:lastRowFirstColumn="0" w:lastRowLastColumn="0"/>
            </w:pPr>
            <w:r>
              <w:t>Calibración conforme (CQR)</w:t>
            </w:r>
          </w:p>
        </w:tc>
        <w:tc>
          <w:tcPr>
            <w:tcW w:w="3211" w:type="dxa"/>
          </w:tcPr>
          <w:p w14:paraId="3E3A7FCB" w14:textId="77777777" w:rsidR="00764D11" w:rsidRDefault="00000000">
            <w:pPr>
              <w:cnfStyle w:val="000000100000" w:firstRow="0" w:lastRow="0" w:firstColumn="0" w:lastColumn="0" w:oddVBand="0" w:evenVBand="0" w:oddHBand="1" w:evenHBand="0" w:firstRowFirstColumn="0" w:firstRowLastColumn="0" w:lastRowFirstColumn="0" w:lastRowLastColumn="0"/>
            </w:pPr>
            <w:r>
              <w:t>RESPALDADO (Romano, Patterson &amp; Candès 2019 — falta citar)</w:t>
            </w:r>
          </w:p>
        </w:tc>
      </w:tr>
      <w:tr w:rsidR="00764D11" w14:paraId="6AAAA972"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32401A5F" w14:textId="77777777" w:rsidR="00764D11" w:rsidRDefault="00000000">
            <w:r>
              <w:t>2.3</w:t>
            </w:r>
          </w:p>
        </w:tc>
        <w:tc>
          <w:tcPr>
            <w:tcW w:w="3211" w:type="dxa"/>
          </w:tcPr>
          <w:p w14:paraId="60408DE5" w14:textId="77777777" w:rsidR="00764D11" w:rsidRDefault="00000000">
            <w:pPr>
              <w:cnfStyle w:val="000000010000" w:firstRow="0" w:lastRow="0" w:firstColumn="0" w:lastColumn="0" w:oddVBand="0" w:evenVBand="0" w:oddHBand="0" w:evenHBand="1" w:firstRowFirstColumn="0" w:firstRowLastColumn="0" w:lastRowFirstColumn="0" w:lastRowLastColumn="0"/>
            </w:pPr>
            <w:r>
              <w:t>Calibración adaptativa (ventana móvil)</w:t>
            </w:r>
          </w:p>
        </w:tc>
        <w:tc>
          <w:tcPr>
            <w:tcW w:w="3211" w:type="dxa"/>
          </w:tcPr>
          <w:p w14:paraId="27906CCD" w14:textId="77777777" w:rsidR="00764D11" w:rsidRDefault="00000000">
            <w:pPr>
              <w:cnfStyle w:val="000000010000" w:firstRow="0" w:lastRow="0" w:firstColumn="0" w:lastColumn="0" w:oddVBand="0" w:evenVBand="0" w:oddHBand="0" w:evenHBand="1" w:firstRowFirstColumn="0" w:firstRowLastColumn="0" w:lastRowFirstColumn="0" w:lastRowLastColumn="0"/>
            </w:pPr>
            <w:r>
              <w:t>RESPALDADO conceptualmente (Gibbs &amp; Candès 2021)</w:t>
            </w:r>
          </w:p>
        </w:tc>
      </w:tr>
      <w:tr w:rsidR="00764D11" w14:paraId="23AB0477"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3033645D" w14:textId="77777777" w:rsidR="00764D11" w:rsidRDefault="00000000">
            <w:r>
              <w:t>2.4</w:t>
            </w:r>
          </w:p>
        </w:tc>
        <w:tc>
          <w:tcPr>
            <w:tcW w:w="3211" w:type="dxa"/>
          </w:tcPr>
          <w:p w14:paraId="3E9E177B" w14:textId="77777777" w:rsidR="00764D11" w:rsidRDefault="00000000">
            <w:pPr>
              <w:cnfStyle w:val="000000100000" w:firstRow="0" w:lastRow="0" w:firstColumn="0" w:lastColumn="0" w:oddVBand="0" w:evenVBand="0" w:oddHBand="1" w:evenHBand="0" w:firstRowFirstColumn="0" w:firstRowLastColumn="0" w:lastRowFirstColumn="0" w:lastRowLastColumn="0"/>
            </w:pPr>
            <w:r>
              <w:t>Ventana de 30 días (calibración y umbral rodante)</w:t>
            </w:r>
          </w:p>
        </w:tc>
        <w:tc>
          <w:tcPr>
            <w:tcW w:w="3211" w:type="dxa"/>
          </w:tcPr>
          <w:p w14:paraId="51F79F67" w14:textId="77777777" w:rsidR="00764D11" w:rsidRDefault="00000000">
            <w:pPr>
              <w:cnfStyle w:val="000000100000" w:firstRow="0" w:lastRow="0" w:firstColumn="0" w:lastColumn="0" w:oddVBand="0" w:evenVBand="0" w:oddHBand="1" w:evenHBand="0" w:firstRowFirstColumn="0" w:firstRowLastColumn="0" w:lastRowFirstColumn="0" w:lastRowLastColumn="0"/>
            </w:pPr>
            <w:r>
              <w:t>SIN RESPALDO — investigar / probar sensibilidad</w:t>
            </w:r>
          </w:p>
        </w:tc>
      </w:tr>
      <w:tr w:rsidR="00764D11" w14:paraId="38D34014"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72D71F18" w14:textId="77777777" w:rsidR="00764D11" w:rsidRDefault="00000000">
            <w:r>
              <w:t>2.5</w:t>
            </w:r>
          </w:p>
        </w:tc>
        <w:tc>
          <w:tcPr>
            <w:tcW w:w="3211" w:type="dxa"/>
          </w:tcPr>
          <w:p w14:paraId="41D0E211" w14:textId="77777777" w:rsidR="00764D11" w:rsidRDefault="00000000">
            <w:pPr>
              <w:cnfStyle w:val="000000010000" w:firstRow="0" w:lastRow="0" w:firstColumn="0" w:lastColumn="0" w:oddVBand="0" w:evenVBand="0" w:oddHBand="0" w:evenHBand="1" w:firstRowFirstColumn="0" w:firstRowLastColumn="0" w:lastRowFirstColumn="0" w:lastRowLastColumn="0"/>
            </w:pPr>
            <w:r>
              <w:t>Causa de pérdida de cobertura con el horizonte</w:t>
            </w:r>
          </w:p>
        </w:tc>
        <w:tc>
          <w:tcPr>
            <w:tcW w:w="3211" w:type="dxa"/>
          </w:tcPr>
          <w:p w14:paraId="057D73E1" w14:textId="77777777" w:rsidR="00764D11" w:rsidRDefault="00000000">
            <w:pPr>
              <w:cnfStyle w:val="000000010000" w:firstRow="0" w:lastRow="0" w:firstColumn="0" w:lastColumn="0" w:oddVBand="0" w:evenVBand="0" w:oddHBand="0" w:evenHBand="1" w:firstRowFirstColumn="0" w:firstRowLastColumn="0" w:lastRowFirstColumn="0" w:lastRowLastColumn="0"/>
            </w:pPr>
            <w:r>
              <w:t>SIN RESPALDO — causa raíz no investigada</w:t>
            </w:r>
          </w:p>
        </w:tc>
      </w:tr>
      <w:tr w:rsidR="00764D11" w14:paraId="529011DD"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1B4E01BB" w14:textId="77777777" w:rsidR="00764D11" w:rsidRDefault="00000000">
            <w:r>
              <w:lastRenderedPageBreak/>
              <w:t>3.1</w:t>
            </w:r>
          </w:p>
        </w:tc>
        <w:tc>
          <w:tcPr>
            <w:tcW w:w="3211" w:type="dxa"/>
          </w:tcPr>
          <w:p w14:paraId="1AA51AD5" w14:textId="77777777" w:rsidR="00764D11" w:rsidRDefault="00000000">
            <w:pPr>
              <w:cnfStyle w:val="000000100000" w:firstRow="0" w:lastRow="0" w:firstColumn="0" w:lastColumn="0" w:oddVBand="0" w:evenVBand="0" w:oddHBand="1" w:evenHBand="0" w:firstRowFirstColumn="0" w:firstRowLastColumn="0" w:lastRowFirstColumn="0" w:lastRowLastColumn="0"/>
            </w:pPr>
            <w:r>
              <w:t>Percentiles 25/75 (barato/caro)</w:t>
            </w:r>
          </w:p>
        </w:tc>
        <w:tc>
          <w:tcPr>
            <w:tcW w:w="3211" w:type="dxa"/>
          </w:tcPr>
          <w:p w14:paraId="4B032430" w14:textId="77777777" w:rsidR="00764D11" w:rsidRDefault="00000000">
            <w:pPr>
              <w:cnfStyle w:val="000000100000" w:firstRow="0" w:lastRow="0" w:firstColumn="0" w:lastColumn="0" w:oddVBand="0" w:evenVBand="0" w:oddHBand="1" w:evenHBand="0" w:firstRowFirstColumn="0" w:firstRowLastColumn="0" w:lastRowFirstColumn="0" w:lastRowLastColumn="0"/>
            </w:pPr>
            <w:r>
              <w:t>SIN RESPALDO — investigar / probar sensibilidad</w:t>
            </w:r>
          </w:p>
        </w:tc>
      </w:tr>
      <w:tr w:rsidR="00764D11" w14:paraId="1682915B"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7C0A2F9C" w14:textId="77777777" w:rsidR="00764D11" w:rsidRDefault="00000000">
            <w:r>
              <w:t>3.2</w:t>
            </w:r>
          </w:p>
        </w:tc>
        <w:tc>
          <w:tcPr>
            <w:tcW w:w="3211" w:type="dxa"/>
          </w:tcPr>
          <w:p w14:paraId="2DD17C31" w14:textId="77777777" w:rsidR="00764D11" w:rsidRDefault="00000000">
            <w:pPr>
              <w:cnfStyle w:val="000000010000" w:firstRow="0" w:lastRow="0" w:firstColumn="0" w:lastColumn="0" w:oddVBand="0" w:evenVBand="0" w:oddHBand="0" w:evenHBand="1" w:firstRowFirstColumn="0" w:firstRowLastColumn="0" w:lastRowFirstColumn="0" w:lastRowLastColumn="0"/>
            </w:pPr>
            <w:r>
              <w:t>Ventana 30 días método rodante</w:t>
            </w:r>
          </w:p>
        </w:tc>
        <w:tc>
          <w:tcPr>
            <w:tcW w:w="3211" w:type="dxa"/>
          </w:tcPr>
          <w:p w14:paraId="58963BD7" w14:textId="77777777" w:rsidR="00764D11" w:rsidRDefault="00000000">
            <w:pPr>
              <w:cnfStyle w:val="000000010000" w:firstRow="0" w:lastRow="0" w:firstColumn="0" w:lastColumn="0" w:oddVBand="0" w:evenVBand="0" w:oddHBand="0" w:evenHBand="1" w:firstRowFirstColumn="0" w:firstRowLastColumn="0" w:lastRowFirstColumn="0" w:lastRowLastColumn="0"/>
            </w:pPr>
            <w:r>
              <w:t>SIN RESPALDO (mismo caso que 2.4)</w:t>
            </w:r>
          </w:p>
        </w:tc>
      </w:tr>
      <w:tr w:rsidR="00764D11" w14:paraId="75993013"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2A0F1944" w14:textId="77777777" w:rsidR="00764D11" w:rsidRDefault="00000000">
            <w:r>
              <w:t>3.3</w:t>
            </w:r>
          </w:p>
        </w:tc>
        <w:tc>
          <w:tcPr>
            <w:tcW w:w="3211" w:type="dxa"/>
          </w:tcPr>
          <w:p w14:paraId="20490AF0" w14:textId="77777777" w:rsidR="00764D11" w:rsidRDefault="00000000">
            <w:pPr>
              <w:cnfStyle w:val="000000100000" w:firstRow="0" w:lastRow="0" w:firstColumn="0" w:lastColumn="0" w:oddVBand="0" w:evenVBand="0" w:oddHBand="1" w:evenHBand="0" w:firstRowFirstColumn="0" w:firstRowLastColumn="0" w:lastRowFirstColumn="0" w:lastRowLastColumn="0"/>
            </w:pPr>
            <w:r>
              <w:t>Percentil 75 (banda ancha)</w:t>
            </w:r>
          </w:p>
        </w:tc>
        <w:tc>
          <w:tcPr>
            <w:tcW w:w="3211" w:type="dxa"/>
          </w:tcPr>
          <w:p w14:paraId="2D356CBC" w14:textId="77777777" w:rsidR="00764D11" w:rsidRDefault="00000000">
            <w:pPr>
              <w:cnfStyle w:val="000000100000" w:firstRow="0" w:lastRow="0" w:firstColumn="0" w:lastColumn="0" w:oddVBand="0" w:evenVBand="0" w:oddHBand="1" w:evenHBand="0" w:firstRowFirstColumn="0" w:firstRowLastColumn="0" w:lastRowFirstColumn="0" w:lastRowLastColumn="0"/>
            </w:pPr>
            <w:r>
              <w:t>SIN RESPALDO — probar sensibilidad</w:t>
            </w:r>
          </w:p>
        </w:tc>
      </w:tr>
      <w:tr w:rsidR="00764D11" w14:paraId="1ACB0C3D"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10D6498F" w14:textId="77777777" w:rsidR="00764D11" w:rsidRDefault="00000000">
            <w:r>
              <w:t>3.4</w:t>
            </w:r>
          </w:p>
        </w:tc>
        <w:tc>
          <w:tcPr>
            <w:tcW w:w="3211" w:type="dxa"/>
          </w:tcPr>
          <w:p w14:paraId="07D0A1C8" w14:textId="77777777" w:rsidR="00764D11" w:rsidRDefault="00000000">
            <w:pPr>
              <w:cnfStyle w:val="000000010000" w:firstRow="0" w:lastRow="0" w:firstColumn="0" w:lastColumn="0" w:oddVBand="0" w:evenVBand="0" w:oddHBand="0" w:evenHBand="1" w:firstRowFirstColumn="0" w:firstRowLastColumn="0" w:lastRowFirstColumn="0" w:lastRowLastColumn="0"/>
            </w:pPr>
            <w:r>
              <w:t>Rango de frecuencia válida 10%-40%</w:t>
            </w:r>
          </w:p>
        </w:tc>
        <w:tc>
          <w:tcPr>
            <w:tcW w:w="3211" w:type="dxa"/>
          </w:tcPr>
          <w:p w14:paraId="69DB3D49" w14:textId="77777777" w:rsidR="00764D11" w:rsidRDefault="00000000">
            <w:pPr>
              <w:cnfStyle w:val="000000010000" w:firstRow="0" w:lastRow="0" w:firstColumn="0" w:lastColumn="0" w:oddVBand="0" w:evenVBand="0" w:oddHBand="0" w:evenHBand="1" w:firstRowFirstColumn="0" w:firstRowLastColumn="0" w:lastRowFirstColumn="0" w:lastRowLastColumn="0"/>
            </w:pPr>
            <w:r>
              <w:t>SIN RESPALDO — investigar / considerar criterio tipo Sharpe</w:t>
            </w:r>
          </w:p>
        </w:tc>
      </w:tr>
      <w:tr w:rsidR="00764D11" w14:paraId="7A092F2E"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7AA13727" w14:textId="77777777" w:rsidR="00764D11" w:rsidRDefault="00000000">
            <w:r>
              <w:t>3.5</w:t>
            </w:r>
          </w:p>
        </w:tc>
        <w:tc>
          <w:tcPr>
            <w:tcW w:w="3211" w:type="dxa"/>
          </w:tcPr>
          <w:p w14:paraId="15CDDFD0" w14:textId="77777777" w:rsidR="00764D11" w:rsidRDefault="00000000">
            <w:pPr>
              <w:cnfStyle w:val="000000100000" w:firstRow="0" w:lastRow="0" w:firstColumn="0" w:lastColumn="0" w:oddVBand="0" w:evenVBand="0" w:oddHBand="1" w:evenHBand="0" w:firstRowFirstColumn="0" w:firstRowLastColumn="0" w:lastRowFirstColumn="0" w:lastRowLastColumn="0"/>
            </w:pPr>
            <w:r>
              <w:t>Backtest económico simple</w:t>
            </w:r>
          </w:p>
        </w:tc>
        <w:tc>
          <w:tcPr>
            <w:tcW w:w="3211" w:type="dxa"/>
          </w:tcPr>
          <w:p w14:paraId="160FDFCB" w14:textId="77777777" w:rsidR="00764D11" w:rsidRDefault="00000000">
            <w:pPr>
              <w:cnfStyle w:val="000000100000" w:firstRow="0" w:lastRow="0" w:firstColumn="0" w:lastColumn="0" w:oddVBand="0" w:evenVBand="0" w:oddHBand="1" w:evenHBand="0" w:firstRowFirstColumn="0" w:firstRowLastColumn="0" w:lastRowFirstColumn="0" w:lastRowLastColumn="0"/>
            </w:pPr>
            <w:r>
              <w:t>INTERNO (reconocido y documentado como limitación)</w:t>
            </w:r>
          </w:p>
        </w:tc>
      </w:tr>
      <w:tr w:rsidR="00764D11" w14:paraId="132622F7"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4D640001" w14:textId="77777777" w:rsidR="00764D11" w:rsidRDefault="00000000">
            <w:r>
              <w:t>3.6</w:t>
            </w:r>
          </w:p>
        </w:tc>
        <w:tc>
          <w:tcPr>
            <w:tcW w:w="3211" w:type="dxa"/>
          </w:tcPr>
          <w:p w14:paraId="10610FCA" w14:textId="77777777" w:rsidR="00764D11" w:rsidRDefault="00000000">
            <w:pPr>
              <w:cnfStyle w:val="000000010000" w:firstRow="0" w:lastRow="0" w:firstColumn="0" w:lastColumn="0" w:oddVBand="0" w:evenVBand="0" w:oddHBand="0" w:evenHBand="1" w:firstRowFirstColumn="0" w:firstRowLastColumn="0" w:lastRowFirstColumn="0" w:lastRowLastColumn="0"/>
            </w:pPr>
            <w:r>
              <w:t>Umbrales del chip de confianza (75/40)</w:t>
            </w:r>
          </w:p>
        </w:tc>
        <w:tc>
          <w:tcPr>
            <w:tcW w:w="3211" w:type="dxa"/>
          </w:tcPr>
          <w:p w14:paraId="76A781A9" w14:textId="77777777" w:rsidR="00764D11" w:rsidRDefault="00000000">
            <w:pPr>
              <w:cnfStyle w:val="000000010000" w:firstRow="0" w:lastRow="0" w:firstColumn="0" w:lastColumn="0" w:oddVBand="0" w:evenVBand="0" w:oddHBand="0" w:evenHBand="1" w:firstRowFirstColumn="0" w:firstRowLastColumn="0" w:lastRowFirstColumn="0" w:lastRowLastColumn="0"/>
            </w:pPr>
            <w:r>
              <w:t>SIN RESPALDO — es una decisión de UX, no estadística</w:t>
            </w:r>
          </w:p>
        </w:tc>
      </w:tr>
    </w:tbl>
    <w:p w14:paraId="391806DE" w14:textId="77777777" w:rsidR="00764D11" w:rsidRDefault="00764D11"/>
    <w:p w14:paraId="69CC41C5" w14:textId="77777777" w:rsidR="00764D11" w:rsidRDefault="00000000">
      <w:pPr>
        <w:pStyle w:val="Ttulo1"/>
      </w:pPr>
      <w:r>
        <w:rPr>
          <w:color w:val="1F4E79"/>
        </w:rPr>
        <w:t>6. Agenda de investigación priorizada (antes de la entrega final)</w:t>
      </w:r>
    </w:p>
    <w:p w14:paraId="5C041B93" w14:textId="77777777" w:rsidR="00764D11" w:rsidRDefault="00000000">
      <w:r>
        <w:t>Ordenada de mayor a menor impacto esperado sobre qué tan defendible es el proyecto frente a los asesores:</w:t>
      </w:r>
    </w:p>
    <w:tbl>
      <w:tblPr>
        <w:tblStyle w:val="Cuadrculaclara-nfasis1"/>
        <w:tblW w:w="0" w:type="auto"/>
        <w:jc w:val="center"/>
        <w:tblLook w:val="04A0" w:firstRow="1" w:lastRow="0" w:firstColumn="1" w:lastColumn="0" w:noHBand="0" w:noVBand="1"/>
      </w:tblPr>
      <w:tblGrid>
        <w:gridCol w:w="3211"/>
        <w:gridCol w:w="3211"/>
        <w:gridCol w:w="3211"/>
      </w:tblGrid>
      <w:tr w:rsidR="00764D11" w14:paraId="2081311C" w14:textId="77777777" w:rsidTr="00764D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shd w:val="clear" w:color="auto" w:fill="1F4E79"/>
          </w:tcPr>
          <w:p w14:paraId="24A2BDA8" w14:textId="77777777" w:rsidR="00764D11" w:rsidRDefault="00000000">
            <w:r>
              <w:rPr>
                <w:color w:val="FFFFFF"/>
              </w:rPr>
              <w:t>Prioridad</w:t>
            </w:r>
          </w:p>
        </w:tc>
        <w:tc>
          <w:tcPr>
            <w:tcW w:w="3211" w:type="dxa"/>
            <w:shd w:val="clear" w:color="auto" w:fill="1F4E79"/>
          </w:tcPr>
          <w:p w14:paraId="1252950D" w14:textId="77777777" w:rsidR="00764D11" w:rsidRDefault="00000000">
            <w:pPr>
              <w:cnfStyle w:val="100000000000" w:firstRow="1" w:lastRow="0" w:firstColumn="0" w:lastColumn="0" w:oddVBand="0" w:evenVBand="0" w:oddHBand="0" w:evenHBand="0" w:firstRowFirstColumn="0" w:firstRowLastColumn="0" w:lastRowFirstColumn="0" w:lastRowLastColumn="0"/>
            </w:pPr>
            <w:r>
              <w:rPr>
                <w:color w:val="FFFFFF"/>
              </w:rPr>
              <w:t>Tarea</w:t>
            </w:r>
          </w:p>
        </w:tc>
        <w:tc>
          <w:tcPr>
            <w:tcW w:w="3211" w:type="dxa"/>
            <w:shd w:val="clear" w:color="auto" w:fill="1F4E79"/>
          </w:tcPr>
          <w:p w14:paraId="052CBDFC" w14:textId="77777777" w:rsidR="00764D11" w:rsidRDefault="00000000">
            <w:pPr>
              <w:cnfStyle w:val="100000000000" w:firstRow="1" w:lastRow="0" w:firstColumn="0" w:lastColumn="0" w:oddVBand="0" w:evenVBand="0" w:oddHBand="0" w:evenHBand="0" w:firstRowFirstColumn="0" w:firstRowLastColumn="0" w:lastRowFirstColumn="0" w:lastRowLastColumn="0"/>
            </w:pPr>
            <w:r>
              <w:rPr>
                <w:color w:val="FFFFFF"/>
              </w:rPr>
              <w:t>Por qué</w:t>
            </w:r>
          </w:p>
        </w:tc>
      </w:tr>
      <w:tr w:rsidR="00764D11" w14:paraId="18A1ADBB"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1745BA5E" w14:textId="77777777" w:rsidR="00764D11" w:rsidRDefault="00000000">
            <w:r>
              <w:t>Alta</w:t>
            </w:r>
          </w:p>
        </w:tc>
        <w:tc>
          <w:tcPr>
            <w:tcW w:w="3211" w:type="dxa"/>
          </w:tcPr>
          <w:p w14:paraId="690B6EA7" w14:textId="77777777" w:rsidR="00764D11" w:rsidRDefault="00000000">
            <w:pPr>
              <w:cnfStyle w:val="000000100000" w:firstRow="0" w:lastRow="0" w:firstColumn="0" w:lastColumn="0" w:oddVBand="0" w:evenVBand="0" w:oddHBand="1" w:evenHBand="0" w:firstRowFirstColumn="0" w:firstRowLastColumn="0" w:lastRowFirstColumn="0" w:lastRowLastColumn="0"/>
            </w:pPr>
            <w:r>
              <w:t>Probar sensibilidad de la ventana de 30 días (calibración adaptativa Y umbral rodante) con 7/14/30/60/90 días</w:t>
            </w:r>
          </w:p>
        </w:tc>
        <w:tc>
          <w:tcPr>
            <w:tcW w:w="3211" w:type="dxa"/>
          </w:tcPr>
          <w:p w14:paraId="76A0F9F2" w14:textId="77777777" w:rsidR="00764D11" w:rsidRDefault="00000000">
            <w:pPr>
              <w:cnfStyle w:val="000000100000" w:firstRow="0" w:lastRow="0" w:firstColumn="0" w:lastColumn="0" w:oddVBand="0" w:evenVBand="0" w:oddHBand="1" w:evenHBand="0" w:firstRowFirstColumn="0" w:firstRowLastColumn="0" w:lastRowFirstColumn="0" w:lastRowLastColumn="0"/>
            </w:pPr>
            <w:r>
              <w:t>Es el número que más se repite sin respaldo en todo el informe (decisiones 2.4, 2.5, 3.2) y la prueba es barata de correr con los datos ya existentes.</w:t>
            </w:r>
          </w:p>
        </w:tc>
      </w:tr>
      <w:tr w:rsidR="00764D11" w14:paraId="6463F24E"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0D92994E" w14:textId="77777777" w:rsidR="00764D11" w:rsidRDefault="00000000">
            <w:r>
              <w:t>Alta</w:t>
            </w:r>
          </w:p>
        </w:tc>
        <w:tc>
          <w:tcPr>
            <w:tcW w:w="3211" w:type="dxa"/>
          </w:tcPr>
          <w:p w14:paraId="4C100BEB" w14:textId="77777777" w:rsidR="00764D11" w:rsidRDefault="00000000">
            <w:pPr>
              <w:cnfStyle w:val="000000010000" w:firstRow="0" w:lastRow="0" w:firstColumn="0" w:lastColumn="0" w:oddVBand="0" w:evenVBand="0" w:oddHBand="0" w:evenHBand="1" w:firstRowFirstColumn="0" w:firstRowLastColumn="0" w:lastRowFirstColumn="0" w:lastRowLastColumn="0"/>
            </w:pPr>
            <w:r>
              <w:t>Probar sensibilidad de los percentiles 25/75 y del percentil 75 de 'banda ancha' en el motor de decisión</w:t>
            </w:r>
          </w:p>
        </w:tc>
        <w:tc>
          <w:tcPr>
            <w:tcW w:w="3211" w:type="dxa"/>
          </w:tcPr>
          <w:p w14:paraId="1EA61442" w14:textId="77777777" w:rsidR="00764D11" w:rsidRDefault="00000000">
            <w:pPr>
              <w:cnfStyle w:val="000000010000" w:firstRow="0" w:lastRow="0" w:firstColumn="0" w:lastColumn="0" w:oddVBand="0" w:evenVBand="0" w:oddHBand="0" w:evenHBand="1" w:firstRowFirstColumn="0" w:firstRowLastColumn="0" w:lastRowFirstColumn="0" w:lastRowLastColumn="0"/>
            </w:pPr>
            <w:r>
              <w:t>Afecta directamente qué tan buena es la señal final que ve el usuario — es fácil de justificar mostrando una curva de ventaja económica vs. percentil, en vez de defender un solo número.</w:t>
            </w:r>
          </w:p>
        </w:tc>
      </w:tr>
      <w:tr w:rsidR="00764D11" w14:paraId="3146BBF2"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69537B5E" w14:textId="77777777" w:rsidR="00764D11" w:rsidRDefault="00000000">
            <w:r>
              <w:t>Alta</w:t>
            </w:r>
          </w:p>
        </w:tc>
        <w:tc>
          <w:tcPr>
            <w:tcW w:w="3211" w:type="dxa"/>
          </w:tcPr>
          <w:p w14:paraId="42B0A79B" w14:textId="77777777" w:rsidR="00764D11" w:rsidRDefault="00000000">
            <w:pPr>
              <w:cnfStyle w:val="000000100000" w:firstRow="0" w:lastRow="0" w:firstColumn="0" w:lastColumn="0" w:oddVBand="0" w:evenVBand="0" w:oddHBand="1" w:evenHBand="0" w:firstRowFirstColumn="0" w:firstRowLastColumn="0" w:lastRowFirstColumn="0" w:lastRowLastColumn="0"/>
            </w:pPr>
            <w:r>
              <w:t>Agregar formalmente las citas ya identificadas pero no confirmadas en el material actual: Weron (2014), Uniejewski/Weron/Ziel (2018), Hyndman &amp; Athanasopoulos, Romano/Patterson/Candès (2019), Gibbs &amp; Candès (2021)</w:t>
            </w:r>
          </w:p>
        </w:tc>
        <w:tc>
          <w:tcPr>
            <w:tcW w:w="3211" w:type="dxa"/>
          </w:tcPr>
          <w:p w14:paraId="0E1AB2B7" w14:textId="77777777" w:rsidR="00764D11" w:rsidRDefault="00000000">
            <w:pPr>
              <w:cnfStyle w:val="000000100000" w:firstRow="0" w:lastRow="0" w:firstColumn="0" w:lastColumn="0" w:oddVBand="0" w:evenVBand="0" w:oddHBand="1" w:evenHBand="0" w:firstRowFirstColumn="0" w:firstRowLastColumn="0" w:lastRowFirstColumn="0" w:lastRowLastColumn="0"/>
            </w:pPr>
            <w:r>
              <w:t>Son citas de bajo costo (ya se sabe qué buscar) que convierten varias decisiones de 'sin respaldo' a 'respaldadas' sin cambiar nada del código.</w:t>
            </w:r>
          </w:p>
        </w:tc>
      </w:tr>
      <w:tr w:rsidR="00764D11" w14:paraId="30037C38"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01A505DD" w14:textId="77777777" w:rsidR="00764D11" w:rsidRDefault="00000000">
            <w:r>
              <w:t>Media</w:t>
            </w:r>
          </w:p>
        </w:tc>
        <w:tc>
          <w:tcPr>
            <w:tcW w:w="3211" w:type="dxa"/>
          </w:tcPr>
          <w:p w14:paraId="32DEA5AF" w14:textId="77777777" w:rsidR="00764D11" w:rsidRDefault="00000000">
            <w:pPr>
              <w:cnfStyle w:val="000000010000" w:firstRow="0" w:lastRow="0" w:firstColumn="0" w:lastColumn="0" w:oddVBand="0" w:evenVBand="0" w:oddHBand="0" w:evenHBand="1" w:firstRowFirstColumn="0" w:firstRowLastColumn="0" w:lastRowFirstColumn="0" w:lastRowLastColumn="0"/>
            </w:pPr>
            <w:r>
              <w:t xml:space="preserve">Correr un test de quiebre estructural (Chow o Bai-Perron) sobre 2015-2026 para confirmar </w:t>
            </w:r>
            <w:r>
              <w:lastRenderedPageBreak/>
              <w:t>objetivamente la exclusión de 2015-2018</w:t>
            </w:r>
          </w:p>
        </w:tc>
        <w:tc>
          <w:tcPr>
            <w:tcW w:w="3211" w:type="dxa"/>
          </w:tcPr>
          <w:p w14:paraId="2286FF79" w14:textId="77777777" w:rsidR="00764D11"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Hoy se apoya solo en la fecha de la reforma CREG, no en un test estadístico sobre los propios </w:t>
            </w:r>
            <w:r>
              <w:lastRenderedPageBreak/>
              <w:t>datos de precio.</w:t>
            </w:r>
          </w:p>
        </w:tc>
      </w:tr>
      <w:tr w:rsidR="00764D11" w14:paraId="34B8C67E"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10C13578" w14:textId="77777777" w:rsidR="00764D11" w:rsidRDefault="00000000">
            <w:r>
              <w:lastRenderedPageBreak/>
              <w:t>Media</w:t>
            </w:r>
          </w:p>
        </w:tc>
        <w:tc>
          <w:tcPr>
            <w:tcW w:w="3211" w:type="dxa"/>
          </w:tcPr>
          <w:p w14:paraId="5F2CF281" w14:textId="77777777" w:rsidR="00764D11" w:rsidRDefault="00000000">
            <w:pPr>
              <w:cnfStyle w:val="000000100000" w:firstRow="0" w:lastRow="0" w:firstColumn="0" w:lastColumn="0" w:oddVBand="0" w:evenVBand="0" w:oddHBand="1" w:evenHBand="0" w:firstRowFirstColumn="0" w:firstRowLastColumn="0" w:lastRowFirstColumn="0" w:lastRowLastColumn="0"/>
            </w:pPr>
            <w:r>
              <w:t>Revisar si conviene migrar la calibración de 'ventana móvil fija' al mecanismo de tasa de adaptación de Gibbs &amp; Candès (2021)</w:t>
            </w:r>
          </w:p>
        </w:tc>
        <w:tc>
          <w:tcPr>
            <w:tcW w:w="3211" w:type="dxa"/>
          </w:tcPr>
          <w:p w14:paraId="5A602002" w14:textId="77777777" w:rsidR="00764D11" w:rsidRDefault="00000000">
            <w:pPr>
              <w:cnfStyle w:val="000000100000" w:firstRow="0" w:lastRow="0" w:firstColumn="0" w:lastColumn="0" w:oddVBand="0" w:evenVBand="0" w:oddHBand="1" w:evenHBand="0" w:firstRowFirstColumn="0" w:firstRowLastColumn="0" w:lastRowFirstColumn="0" w:lastRowLastColumn="0"/>
            </w:pPr>
            <w:r>
              <w:t>Daría una base metodológica formalmente idéntica a un paper citable, no solo 'inspirada en'.</w:t>
            </w:r>
          </w:p>
        </w:tc>
      </w:tr>
      <w:tr w:rsidR="00764D11" w14:paraId="2F11EAB6"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2FA39A7A" w14:textId="77777777" w:rsidR="00764D11" w:rsidRDefault="00000000">
            <w:r>
              <w:t>Media</w:t>
            </w:r>
          </w:p>
        </w:tc>
        <w:tc>
          <w:tcPr>
            <w:tcW w:w="3211" w:type="dxa"/>
          </w:tcPr>
          <w:p w14:paraId="326A17D5" w14:textId="77777777" w:rsidR="00764D11" w:rsidRDefault="00000000">
            <w:pPr>
              <w:cnfStyle w:val="000000010000" w:firstRow="0" w:lastRow="0" w:firstColumn="0" w:lastColumn="0" w:oddVBand="0" w:evenVBand="0" w:oddHBand="0" w:evenHBand="1" w:firstRowFirstColumn="0" w:firstRowLastColumn="0" w:lastRowFirstColumn="0" w:lastRowLastColumn="0"/>
            </w:pPr>
            <w:r>
              <w:t>Definir un criterio de frecuencia de acción más formal (tipo ratio de Sharpe) en vez del rango fijo 10%-40%</w:t>
            </w:r>
          </w:p>
        </w:tc>
        <w:tc>
          <w:tcPr>
            <w:tcW w:w="3211" w:type="dxa"/>
          </w:tcPr>
          <w:p w14:paraId="2B21143B" w14:textId="77777777" w:rsidR="00764D11" w:rsidRDefault="00000000">
            <w:pPr>
              <w:cnfStyle w:val="000000010000" w:firstRow="0" w:lastRow="0" w:firstColumn="0" w:lastColumn="0" w:oddVBand="0" w:evenVBand="0" w:oddHBand="0" w:evenHBand="1" w:firstRowFirstColumn="0" w:firstRowLastColumn="0" w:lastRowFirstColumn="0" w:lastRowLastColumn="0"/>
            </w:pPr>
            <w:r>
              <w:t>Reduce la dependencia de un corte arbitrario que un asesor podría cuestionar directamente.</w:t>
            </w:r>
          </w:p>
        </w:tc>
      </w:tr>
      <w:tr w:rsidR="00764D11" w14:paraId="7CD617D1" w14:textId="77777777" w:rsidTr="00764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5D660256" w14:textId="77777777" w:rsidR="00764D11" w:rsidRDefault="00000000">
            <w:r>
              <w:t>Baja</w:t>
            </w:r>
          </w:p>
        </w:tc>
        <w:tc>
          <w:tcPr>
            <w:tcW w:w="3211" w:type="dxa"/>
          </w:tcPr>
          <w:p w14:paraId="2D747C41" w14:textId="77777777" w:rsidR="00764D11" w:rsidRDefault="00000000">
            <w:pPr>
              <w:cnfStyle w:val="000000100000" w:firstRow="0" w:lastRow="0" w:firstColumn="0" w:lastColumn="0" w:oddVBand="0" w:evenVBand="0" w:oddHBand="1" w:evenHBand="0" w:firstRowFirstColumn="0" w:firstRowLastColumn="0" w:lastRowFirstColumn="0" w:lastRowLastColumn="0"/>
            </w:pPr>
            <w:r>
              <w:t>Comparar variable indicadora de pandemia vs. excluir 2020 vs. no marcar nada, con un experimento propio</w:t>
            </w:r>
          </w:p>
        </w:tc>
        <w:tc>
          <w:tcPr>
            <w:tcW w:w="3211" w:type="dxa"/>
          </w:tcPr>
          <w:p w14:paraId="68CF8960" w14:textId="77777777" w:rsidR="00764D11" w:rsidRDefault="00000000">
            <w:pPr>
              <w:cnfStyle w:val="000000100000" w:firstRow="0" w:lastRow="0" w:firstColumn="0" w:lastColumn="0" w:oddVBand="0" w:evenVBand="0" w:oddHBand="1" w:evenHBand="0" w:firstRowFirstColumn="0" w:firstRowLastColumn="0" w:lastRowFirstColumn="0" w:lastRowLastColumn="0"/>
            </w:pPr>
            <w:r>
              <w:t>La práctica es razonable y común en la literatura general, pero el proyecto no la validó con su propio dataset.</w:t>
            </w:r>
          </w:p>
        </w:tc>
      </w:tr>
      <w:tr w:rsidR="00764D11" w14:paraId="71BAEDD8" w14:textId="77777777" w:rsidTr="00764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1" w:type="dxa"/>
          </w:tcPr>
          <w:p w14:paraId="3C5C9500" w14:textId="77777777" w:rsidR="00764D11" w:rsidRDefault="00000000">
            <w:r>
              <w:t>Baja</w:t>
            </w:r>
          </w:p>
        </w:tc>
        <w:tc>
          <w:tcPr>
            <w:tcW w:w="3211" w:type="dxa"/>
          </w:tcPr>
          <w:p w14:paraId="46CD0661" w14:textId="77777777" w:rsidR="00764D11" w:rsidRDefault="00000000">
            <w:pPr>
              <w:cnfStyle w:val="000000010000" w:firstRow="0" w:lastRow="0" w:firstColumn="0" w:lastColumn="0" w:oddVBand="0" w:evenVBand="0" w:oddHBand="0" w:evenHBand="1" w:firstRowFirstColumn="0" w:firstRowLastColumn="0" w:lastRowFirstColumn="0" w:lastRowLastColumn="0"/>
            </w:pPr>
            <w:r>
              <w:t>Investigar la causa raíz de por qué la banda cruda de N-BEATSx pierde cobertura con el horizonte</w:t>
            </w:r>
          </w:p>
        </w:tc>
        <w:tc>
          <w:tcPr>
            <w:tcW w:w="3211" w:type="dxa"/>
          </w:tcPr>
          <w:p w14:paraId="427A87DC" w14:textId="77777777" w:rsidR="00764D11" w:rsidRDefault="00000000">
            <w:pPr>
              <w:cnfStyle w:val="000000010000" w:firstRow="0" w:lastRow="0" w:firstColumn="0" w:lastColumn="0" w:oddVBand="0" w:evenVBand="0" w:oddHBand="0" w:evenHBand="1" w:firstRowFirstColumn="0" w:firstRowLastColumn="0" w:lastRowFirstColumn="0" w:lastRowLastColumn="0"/>
            </w:pPr>
            <w:r>
              <w:t>El síntoma ya está bien documentado y parcheado (CQR por tramo); entender la causa es interesante pero no bloquea nada del proyecto.</w:t>
            </w:r>
          </w:p>
        </w:tc>
      </w:tr>
    </w:tbl>
    <w:p w14:paraId="2B435907" w14:textId="77777777" w:rsidR="00764D11" w:rsidRDefault="00764D11"/>
    <w:p w14:paraId="51BB2833" w14:textId="77777777" w:rsidR="00764D11" w:rsidRDefault="00000000">
      <w:pPr>
        <w:pStyle w:val="Ttulo1"/>
      </w:pPr>
      <w:r>
        <w:rPr>
          <w:color w:val="1F4E79"/>
        </w:rPr>
        <w:t>7. Conclusión de este documento de trabajo</w:t>
      </w:r>
    </w:p>
    <w:p w14:paraId="14021162" w14:textId="77777777" w:rsidR="00764D11" w:rsidRDefault="00000000">
      <w:r>
        <w:t>De las 24 decisiones auditadas en este informe, 9 tienen respaldo directo de literatura identificable (aunque en varios casos la cita todavía no está escrita formalmente en el proyecto), 8 están validadas por experimentos propios del equipo (ablaciones, pruebas de significancia, análisis de correlación), y 7 son heurísticas razonables pero sin una fuente externa ni una prueba de sensibilidad propia que las respalde — concentradas, notablemente, en los parámetros numéricos del motor de decisión (percentiles, ventanas, rangos de frecuencia).</w:t>
      </w:r>
    </w:p>
    <w:p w14:paraId="2E61A2D0" w14:textId="77777777" w:rsidR="00764D11" w:rsidRDefault="00000000">
      <w:r>
        <w:rPr>
          <w:b/>
        </w:rPr>
        <w:t>Esto no significa que el motor de decisión esté mal diseñado — la arquitectura general (umbrales por percentil, filtro por confianza, backtest de validación) es una aproximación razonable y estándar en la práctica. Significa que, si un asesor pregunta específicamente ‘¿por qué ese número y no otro?’ sobre cualquiera de los parámetros marcados en rojo, la respuesta honesta hoy es ‘fue una elección de ingeniería razonable, no optimizada ni citada formalmente’ — y la agenda de la sección 6 es exactamente el camino para cerrar esa brecha antes de la entrega final.</w:t>
      </w:r>
    </w:p>
    <w:sectPr w:rsidR="00764D11"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7280468">
    <w:abstractNumId w:val="8"/>
  </w:num>
  <w:num w:numId="2" w16cid:durableId="1541288083">
    <w:abstractNumId w:val="6"/>
  </w:num>
  <w:num w:numId="3" w16cid:durableId="1967546532">
    <w:abstractNumId w:val="5"/>
  </w:num>
  <w:num w:numId="4" w16cid:durableId="1116829607">
    <w:abstractNumId w:val="4"/>
  </w:num>
  <w:num w:numId="5" w16cid:durableId="2085837290">
    <w:abstractNumId w:val="7"/>
  </w:num>
  <w:num w:numId="6" w16cid:durableId="688988234">
    <w:abstractNumId w:val="3"/>
  </w:num>
  <w:num w:numId="7" w16cid:durableId="1710104037">
    <w:abstractNumId w:val="2"/>
  </w:num>
  <w:num w:numId="8" w16cid:durableId="44112525">
    <w:abstractNumId w:val="1"/>
  </w:num>
  <w:num w:numId="9" w16cid:durableId="124768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45"/>
    <w:rsid w:val="002937D0"/>
    <w:rsid w:val="0029639D"/>
    <w:rsid w:val="00326F90"/>
    <w:rsid w:val="00764D11"/>
    <w:rsid w:val="00AA1D8D"/>
    <w:rsid w:val="00B47730"/>
    <w:rsid w:val="00CB0664"/>
    <w:rsid w:val="00F96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E5103"/>
  <w14:defaultImageDpi w14:val="300"/>
  <w15:docId w15:val="{38E6286A-DCC5-4CF2-A7F9-4FA4D9696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18</Pages>
  <Words>6761</Words>
  <Characters>37190</Characters>
  <Application>Microsoft Office Word</Application>
  <DocSecurity>0</DocSecurity>
  <Lines>309</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ANDRES DEDE PERDOMO</cp:lastModifiedBy>
  <cp:revision>2</cp:revision>
  <dcterms:created xsi:type="dcterms:W3CDTF">2013-12-23T23:15:00Z</dcterms:created>
  <dcterms:modified xsi:type="dcterms:W3CDTF">2026-09-24T22:52:00Z</dcterms:modified>
  <cp:category/>
</cp:coreProperties>
</file>