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F8026" w14:textId="77777777" w:rsidR="001C1228" w:rsidRDefault="001C1228" w:rsidP="004904DB">
      <w:pPr>
        <w:rPr>
          <w:rFonts w:ascii="Arial" w:hAnsi="Arial" w:cs="Arial"/>
        </w:rPr>
      </w:pPr>
    </w:p>
    <w:p w14:paraId="58D40666" w14:textId="77777777" w:rsidR="00314907" w:rsidRPr="00A61167" w:rsidRDefault="00314907" w:rsidP="004904DB">
      <w:pPr>
        <w:rPr>
          <w:rFonts w:ascii="Arial" w:hAnsi="Arial" w:cs="Arial"/>
          <w:sz w:val="16"/>
        </w:rPr>
      </w:pPr>
    </w:p>
    <w:p w14:paraId="590653AA" w14:textId="77777777" w:rsidR="00AA46F5" w:rsidRPr="00314907" w:rsidRDefault="00314907" w:rsidP="00314907">
      <w:pPr>
        <w:pStyle w:val="Title"/>
        <w:rPr>
          <w:rFonts w:cs="Arial"/>
          <w:sz w:val="28"/>
          <w:szCs w:val="21"/>
        </w:rPr>
      </w:pPr>
      <w:r w:rsidRPr="00314907">
        <w:rPr>
          <w:rFonts w:eastAsiaTheme="minorHAnsi"/>
          <w:sz w:val="28"/>
          <w:szCs w:val="21"/>
        </w:rPr>
        <w:t>Diseño de una plataforma de procesamiento y analítica de datos para el pronóstico del precio de la energía y el apoyo en la toma de decisiones</w:t>
      </w:r>
    </w:p>
    <w:p w14:paraId="62C48E14" w14:textId="77777777" w:rsidR="00AA46F5" w:rsidRDefault="00AA46F5" w:rsidP="00971DB4">
      <w:pPr>
        <w:jc w:val="center"/>
        <w:rPr>
          <w:rFonts w:ascii="Arial" w:hAnsi="Arial" w:cs="Arial"/>
          <w:sz w:val="16"/>
          <w:highlight w:val="green"/>
        </w:rPr>
      </w:pPr>
    </w:p>
    <w:p w14:paraId="298B6FA1" w14:textId="77777777" w:rsidR="00A61167" w:rsidRDefault="00A61167" w:rsidP="00971DB4">
      <w:pPr>
        <w:jc w:val="center"/>
        <w:rPr>
          <w:rFonts w:ascii="Arial" w:hAnsi="Arial" w:cs="Arial"/>
          <w:sz w:val="16"/>
          <w:highlight w:val="green"/>
        </w:rPr>
      </w:pPr>
    </w:p>
    <w:p w14:paraId="65464F93" w14:textId="77777777" w:rsidR="00A61167" w:rsidRPr="00A61167" w:rsidRDefault="00A61167" w:rsidP="00971DB4">
      <w:pPr>
        <w:jc w:val="center"/>
        <w:rPr>
          <w:rFonts w:ascii="Arial" w:hAnsi="Arial" w:cs="Arial"/>
          <w:sz w:val="16"/>
          <w:highlight w:val="green"/>
        </w:rPr>
      </w:pPr>
    </w:p>
    <w:p w14:paraId="55679D4F" w14:textId="77777777" w:rsidR="00AA46F5" w:rsidRPr="00A61167" w:rsidRDefault="00AA46F5" w:rsidP="00971DB4">
      <w:pPr>
        <w:jc w:val="center"/>
        <w:rPr>
          <w:rFonts w:ascii="Arial" w:hAnsi="Arial" w:cs="Arial"/>
          <w:sz w:val="16"/>
          <w:highlight w:val="green"/>
        </w:rPr>
      </w:pPr>
    </w:p>
    <w:p w14:paraId="030AB08D" w14:textId="77777777" w:rsidR="00146F4F" w:rsidRPr="00A61167" w:rsidRDefault="00653923" w:rsidP="00146F4F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</w:t>
      </w:r>
      <w:r w:rsidR="00314907">
        <w:rPr>
          <w:rFonts w:ascii="Arial" w:hAnsi="Arial" w:cs="Arial"/>
          <w:b/>
        </w:rPr>
        <w:t>sesor (es)</w:t>
      </w:r>
      <w:r w:rsidR="00F7422D">
        <w:rPr>
          <w:rFonts w:ascii="Arial" w:hAnsi="Arial" w:cs="Arial"/>
          <w:b/>
        </w:rPr>
        <w:t>:</w:t>
      </w:r>
    </w:p>
    <w:p w14:paraId="4C23C453" w14:textId="77777777" w:rsidR="00C92ED1" w:rsidRDefault="004B15AE">
      <w:pPr>
        <w:spacing w:after="0" w:line="240" w:lineRule="auto"/>
        <w:jc w:val="center"/>
      </w:pPr>
      <w:r>
        <w:rPr>
          <w:rFonts w:ascii="Arial" w:hAnsi="Arial" w:cs="Arial"/>
        </w:rPr>
        <w:t>José Daniel Soto Ortiz</w:t>
      </w:r>
    </w:p>
    <w:p w14:paraId="132F795A" w14:textId="77777777" w:rsidR="00C92ED1" w:rsidRDefault="004B15AE">
      <w:pPr>
        <w:spacing w:after="360" w:line="240" w:lineRule="auto"/>
        <w:jc w:val="center"/>
      </w:pPr>
      <w:r>
        <w:rPr>
          <w:rFonts w:ascii="Arial" w:hAnsi="Arial" w:cs="Arial"/>
        </w:rPr>
        <w:t>Daniela María Charris Stand</w:t>
      </w:r>
    </w:p>
    <w:p w14:paraId="1F4F29F8" w14:textId="77777777" w:rsidR="00C92ED1" w:rsidRDefault="004B15AE">
      <w:pPr>
        <w:spacing w:after="120" w:line="240" w:lineRule="auto"/>
        <w:jc w:val="center"/>
      </w:pPr>
      <w:r>
        <w:rPr>
          <w:rFonts w:ascii="Arial" w:hAnsi="Arial" w:cs="Arial"/>
          <w:b/>
        </w:rPr>
        <w:t>Estudiantes:</w:t>
      </w:r>
    </w:p>
    <w:p w14:paraId="3B09D261" w14:textId="77777777" w:rsidR="00C92ED1" w:rsidRDefault="004B15AE">
      <w:pPr>
        <w:spacing w:after="0" w:line="240" w:lineRule="auto"/>
        <w:jc w:val="center"/>
      </w:pPr>
      <w:r>
        <w:rPr>
          <w:rFonts w:ascii="Arial" w:hAnsi="Arial" w:cs="Arial"/>
        </w:rPr>
        <w:t>Juan David Barceló Barraza — Código 200181896</w:t>
      </w:r>
    </w:p>
    <w:p w14:paraId="02D8B16D" w14:textId="77777777" w:rsidR="00C92ED1" w:rsidRDefault="004B15AE">
      <w:pPr>
        <w:spacing w:after="0" w:line="240" w:lineRule="auto"/>
        <w:jc w:val="center"/>
      </w:pPr>
      <w:r>
        <w:rPr>
          <w:rFonts w:ascii="Arial" w:hAnsi="Arial" w:cs="Arial"/>
        </w:rPr>
        <w:t>Rafael Andrés Dede Perdomo — Código 200180841</w:t>
      </w:r>
    </w:p>
    <w:p w14:paraId="4E1B6270" w14:textId="77777777" w:rsidR="003A4C3C" w:rsidRPr="00A61167" w:rsidRDefault="003A4C3C" w:rsidP="00146F4F">
      <w:pPr>
        <w:spacing w:after="120"/>
        <w:jc w:val="center"/>
        <w:rPr>
          <w:rFonts w:ascii="Arial" w:hAnsi="Arial" w:cs="Arial"/>
          <w:b/>
        </w:rPr>
      </w:pPr>
    </w:p>
    <w:p w14:paraId="0B9C333E" w14:textId="77777777" w:rsidR="003A4C3C" w:rsidRPr="00A61167" w:rsidRDefault="003A4C3C" w:rsidP="00146F4F">
      <w:pPr>
        <w:spacing w:after="120"/>
        <w:jc w:val="center"/>
        <w:rPr>
          <w:rFonts w:ascii="Arial" w:hAnsi="Arial" w:cs="Arial"/>
          <w:b/>
        </w:rPr>
      </w:pPr>
    </w:p>
    <w:p w14:paraId="02667FC2" w14:textId="77777777" w:rsidR="00AA46F5" w:rsidRPr="00314907" w:rsidRDefault="00314907" w:rsidP="00314907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PROGRAMA DE </w:t>
      </w:r>
      <w:r w:rsidR="002E2A11">
        <w:rPr>
          <w:rFonts w:ascii="Arial" w:hAnsi="Arial" w:cs="Arial"/>
          <w:b/>
        </w:rPr>
        <w:t>INGENIERÍA</w:t>
      </w:r>
      <w:r w:rsidR="00146F4F" w:rsidRPr="00A61167">
        <w:rPr>
          <w:rFonts w:ascii="Arial" w:hAnsi="Arial" w:cs="Arial"/>
          <w:b/>
        </w:rPr>
        <w:t xml:space="preserve"> EL</w:t>
      </w:r>
      <w:r w:rsidR="00107182">
        <w:rPr>
          <w:rFonts w:ascii="Arial" w:hAnsi="Arial" w:cs="Arial"/>
          <w:b/>
        </w:rPr>
        <w:t>ECTRÓNICA</w:t>
      </w:r>
      <w:r w:rsidR="00146F4F" w:rsidRPr="00A61167">
        <w:rPr>
          <w:rFonts w:ascii="Arial" w:hAnsi="Arial" w:cs="Arial"/>
          <w:b/>
        </w:rPr>
        <w:t xml:space="preserve"> </w:t>
      </w:r>
    </w:p>
    <w:p w14:paraId="313FEBBA" w14:textId="77777777" w:rsidR="00441C84" w:rsidRDefault="00146F4F" w:rsidP="00971DB4">
      <w:pPr>
        <w:spacing w:after="120"/>
        <w:jc w:val="center"/>
        <w:rPr>
          <w:rFonts w:ascii="Arial" w:hAnsi="Arial" w:cs="Arial"/>
          <w:b/>
        </w:rPr>
      </w:pPr>
      <w:r w:rsidRPr="00A61167">
        <w:rPr>
          <w:rFonts w:ascii="Arial" w:hAnsi="Arial" w:cs="Arial"/>
          <w:b/>
        </w:rPr>
        <w:t>BARRANQUILLA – COLOMBIA</w:t>
      </w:r>
    </w:p>
    <w:p w14:paraId="7C430587" w14:textId="77777777" w:rsidR="00314907" w:rsidRPr="00A61167" w:rsidRDefault="00314907" w:rsidP="00971DB4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26/09/2026</w:t>
      </w:r>
    </w:p>
    <w:p w14:paraId="3237FD69" w14:textId="77777777" w:rsidR="00146F4F" w:rsidRPr="00A61167" w:rsidRDefault="00146F4F" w:rsidP="00971DB4">
      <w:pPr>
        <w:spacing w:after="120"/>
        <w:jc w:val="center"/>
        <w:rPr>
          <w:rFonts w:ascii="Arial" w:hAnsi="Arial" w:cs="Arial"/>
          <w:b/>
        </w:rPr>
      </w:pPr>
    </w:p>
    <w:p w14:paraId="2901783E" w14:textId="77777777" w:rsidR="00A61167" w:rsidRDefault="00A61167" w:rsidP="00971DB4">
      <w:pPr>
        <w:spacing w:after="120"/>
        <w:jc w:val="center"/>
        <w:rPr>
          <w:rFonts w:ascii="Arial" w:hAnsi="Arial" w:cs="Arial"/>
          <w:b/>
        </w:rPr>
      </w:pPr>
    </w:p>
    <w:p w14:paraId="386EA6DC" w14:textId="77777777" w:rsidR="00A61167" w:rsidRPr="00A61167" w:rsidRDefault="00A61167" w:rsidP="00971DB4">
      <w:pPr>
        <w:spacing w:after="120"/>
        <w:jc w:val="center"/>
        <w:rPr>
          <w:rFonts w:ascii="Arial" w:hAnsi="Arial" w:cs="Arial"/>
          <w:b/>
        </w:rPr>
      </w:pPr>
    </w:p>
    <w:p w14:paraId="08041294" w14:textId="77777777" w:rsidR="00BA23A4" w:rsidRPr="00314907" w:rsidRDefault="00314907" w:rsidP="0031490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F496446" w14:textId="77777777" w:rsidR="00217FA9" w:rsidRDefault="00217FA9" w:rsidP="003125C6">
      <w:pPr>
        <w:jc w:val="both"/>
        <w:rPr>
          <w:rFonts w:ascii="Arial" w:hAnsi="Arial" w:cs="Arial"/>
          <w:sz w:val="20"/>
        </w:rPr>
      </w:pPr>
    </w:p>
    <w:p w14:paraId="5D98A739" w14:textId="77777777" w:rsidR="00B7074D" w:rsidRDefault="00B7074D" w:rsidP="00B7074D">
      <w:pPr>
        <w:pStyle w:val="Title"/>
      </w:pPr>
      <w:r>
        <w:t>TABLA DE CONTENIDO</w:t>
      </w:r>
    </w:p>
    <w:p w14:paraId="0AA42AAF" w14:textId="2B6543AA" w:rsidR="004B15AE" w:rsidRDefault="004B15A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  <w:lang w:val="es-CO"/>
        </w:rPr>
      </w:pP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TOC \o "1-2" \h \z \u </w:instrText>
      </w:r>
      <w:r>
        <w:rPr>
          <w:rFonts w:cs="Arial"/>
          <w:sz w:val="20"/>
        </w:rPr>
        <w:fldChar w:fldCharType="separate"/>
      </w:r>
      <w:hyperlink w:anchor="_Toc241498802" w:history="1">
        <w:r w:rsidRPr="004B55F8">
          <w:rPr>
            <w:rStyle w:val="Hyperlink"/>
            <w:rFonts w:cs="Arial"/>
            <w:bCs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  <w:lang w:val="es-CO"/>
          </w:rPr>
          <w:tab/>
        </w:r>
        <w:r w:rsidRPr="004B55F8">
          <w:rPr>
            <w:rStyle w:val="Hyperlink"/>
            <w:rFonts w:cs="Arial"/>
            <w:bCs/>
            <w:noProof/>
          </w:rPr>
          <w:t>CUANTIFICACIÓN DEL PORCENTAJE DE LOGRO DE CADA UNO DE LOS OBJETIVOS DEL PROYECTO.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0623BC" w14:textId="5DB6FC80" w:rsidR="004B15AE" w:rsidRDefault="004B15A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  <w:lang w:val="es-CO"/>
        </w:rPr>
      </w:pPr>
      <w:hyperlink w:anchor="_Toc241498803" w:history="1">
        <w:r w:rsidRPr="004B55F8">
          <w:rPr>
            <w:rStyle w:val="Hyperlink"/>
            <w:rFonts w:cs="Arial"/>
            <w:bCs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  <w:lang w:val="es-CO"/>
          </w:rPr>
          <w:tab/>
        </w:r>
        <w:r w:rsidRPr="004B55F8">
          <w:rPr>
            <w:rStyle w:val="Hyperlink"/>
            <w:rFonts w:cs="Arial"/>
            <w:bCs/>
            <w:noProof/>
          </w:rPr>
          <w:t>EXPLICACIÓN DETALLADA Y RIGUROSA, DESDE EL PUNTO DE VISTA DE INGENIERÍA, DE LA METODOLOGIA Y ACTIVIDADES REALIZADAS PARA LA CONSECUCION DE LOS OBJETIVOS DEL PROYECTO.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95CAED" w14:textId="1AE34258" w:rsidR="004B15AE" w:rsidRDefault="004B15AE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s-CO"/>
        </w:rPr>
      </w:pPr>
      <w:hyperlink w:anchor="_Toc241498804" w:history="1">
        <w:r w:rsidRPr="004B55F8">
          <w:rPr>
            <w:rStyle w:val="Hyperlink"/>
            <w:rFonts w:cs="Arial"/>
            <w:b/>
            <w:bCs/>
            <w:lang w:val="es-CO"/>
          </w:rPr>
          <w:t>2.1 Actividades realizadas que contribuyen al logro del objetivo específico 1: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_Toc241498804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A96A198" w14:textId="25E78996" w:rsidR="004B15AE" w:rsidRDefault="004B15AE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s-CO"/>
        </w:rPr>
      </w:pPr>
      <w:hyperlink w:anchor="_Toc241498805" w:history="1">
        <w:r w:rsidRPr="004B55F8">
          <w:rPr>
            <w:rStyle w:val="Hyperlink"/>
            <w:rFonts w:cs="Arial"/>
            <w:b/>
            <w:bCs/>
            <w:lang w:val="es-CO"/>
          </w:rPr>
          <w:t>2.2 Actividades realizadas que contribuyen al logro del objetivo específico 2: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_Toc241498805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FC2003C" w14:textId="5DF8F985" w:rsidR="004B15AE" w:rsidRDefault="004B15AE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s-CO"/>
        </w:rPr>
      </w:pPr>
      <w:hyperlink w:anchor="_Toc241498806" w:history="1">
        <w:r w:rsidRPr="004B55F8">
          <w:rPr>
            <w:rStyle w:val="Hyperlink"/>
            <w:rFonts w:cs="Arial"/>
            <w:b/>
            <w:bCs/>
            <w:lang w:val="es-CO"/>
          </w:rPr>
          <w:t>2.3 Actividades realizadas que contribuyen al logro del objetivo específico 3: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_Toc241498806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08FEA97" w14:textId="6D8CC683" w:rsidR="004B15AE" w:rsidRDefault="004B15AE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s-CO"/>
        </w:rPr>
      </w:pPr>
      <w:hyperlink w:anchor="_Toc241498807" w:history="1">
        <w:r w:rsidRPr="004B55F8">
          <w:rPr>
            <w:rStyle w:val="Hyperlink"/>
            <w:rFonts w:cs="Arial"/>
            <w:b/>
            <w:bCs/>
            <w:lang w:val="es-CO"/>
          </w:rPr>
          <w:t>2.4 Actividades realizadas que contribuyen al logro del objetivo específico 4: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_Toc241498807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C27992C" w14:textId="7552F789" w:rsidR="004B15AE" w:rsidRDefault="004B15A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  <w:lang w:val="es-CO"/>
        </w:rPr>
      </w:pPr>
      <w:hyperlink w:anchor="_Toc241498808" w:history="1">
        <w:r w:rsidRPr="004B55F8">
          <w:rPr>
            <w:rStyle w:val="Hyperlink"/>
            <w:rFonts w:cs="Arial"/>
            <w:bCs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  <w:lang w:val="es-CO"/>
          </w:rPr>
          <w:tab/>
        </w:r>
        <w:r w:rsidRPr="004B55F8">
          <w:rPr>
            <w:rStyle w:val="Hyperlink"/>
            <w:rFonts w:cs="Arial"/>
            <w:bCs/>
            <w:noProof/>
          </w:rPr>
          <w:t>CRONOGRAMA CON CUANTIFICACIÓN PORCENTUAL DE LOGRO EN CADA ETAPA ESTABLECIDA.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2BD931" w14:textId="0817AFCA" w:rsidR="004B15AE" w:rsidRDefault="004B15A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  <w:lang w:val="es-CO"/>
        </w:rPr>
      </w:pPr>
      <w:hyperlink w:anchor="_Toc241498809" w:history="1">
        <w:r w:rsidRPr="004B55F8">
          <w:rPr>
            <w:rStyle w:val="Hyperlink"/>
            <w:rFonts w:cs="Arial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  <w:lang w:val="es-CO"/>
          </w:rPr>
          <w:tab/>
        </w:r>
        <w:r w:rsidRPr="004B55F8">
          <w:rPr>
            <w:rStyle w:val="Hyperlink"/>
            <w:rFonts w:cs="Arial"/>
            <w:noProof/>
          </w:rPr>
          <w:t>DIFICULTADES ENCONTRADAS HASTA EL MOMENTO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380D16" w14:textId="19B972A2" w:rsidR="004B15AE" w:rsidRDefault="004B15A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  <w:lang w:val="es-CO"/>
        </w:rPr>
      </w:pPr>
      <w:hyperlink w:anchor="_Toc241498810" w:history="1">
        <w:r w:rsidRPr="004B55F8">
          <w:rPr>
            <w:rStyle w:val="Hyperlink"/>
            <w:rFonts w:cs="Arial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  <w:lang w:val="es-CO"/>
          </w:rPr>
          <w:tab/>
        </w:r>
        <w:r w:rsidRPr="004B55F8">
          <w:rPr>
            <w:rStyle w:val="Hyperlink"/>
            <w:rFonts w:cs="Arial"/>
            <w:noProof/>
          </w:rPr>
          <w:t xml:space="preserve">METODOLOGIA </w:t>
        </w:r>
        <w:r w:rsidRPr="004B55F8">
          <w:rPr>
            <w:rStyle w:val="Hyperlink"/>
            <w:rFonts w:cs="Arial"/>
            <w:bCs/>
            <w:noProof/>
          </w:rPr>
          <w:t>Y ACTIVIDADES A REALIZAR DURANTE LAS SEMANAS 11 A 16.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5AC820" w14:textId="69FE2D96" w:rsidR="004B15AE" w:rsidRDefault="004B15A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  <w:lang w:val="es-CO"/>
        </w:rPr>
      </w:pPr>
      <w:hyperlink w:anchor="_Toc241498811" w:history="1">
        <w:r w:rsidRPr="004B55F8">
          <w:rPr>
            <w:rStyle w:val="Hyperlink"/>
            <w:rFonts w:cs="Arial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  <w:lang w:val="es-CO"/>
          </w:rPr>
          <w:tab/>
        </w:r>
        <w:r w:rsidRPr="004B55F8">
          <w:rPr>
            <w:rStyle w:val="Hyperlink"/>
            <w:rFonts w:cs="Arial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BC6A3C" w14:textId="0FDA0118" w:rsidR="004B15AE" w:rsidRDefault="004B15A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  <w:lang w:val="es-CO"/>
        </w:rPr>
      </w:pPr>
      <w:hyperlink w:anchor="_Toc241498812" w:history="1">
        <w:r w:rsidRPr="004B55F8">
          <w:rPr>
            <w:rStyle w:val="Hyperlink"/>
            <w:rFonts w:cs="Arial"/>
            <w:noProof/>
          </w:rPr>
          <w:t>6.1.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  <w:lang w:val="es-CO"/>
          </w:rPr>
          <w:tab/>
        </w:r>
        <w:r w:rsidRPr="004B55F8">
          <w:rPr>
            <w:rStyle w:val="Hyperlink"/>
            <w:rFonts w:cs="Arial"/>
            <w:noProof/>
          </w:rPr>
          <w:t>REFERENCIAS EN 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446E52" w14:textId="207FC3F7" w:rsidR="004B15AE" w:rsidRDefault="004B15A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  <w:lang w:val="es-CO"/>
        </w:rPr>
      </w:pPr>
      <w:hyperlink w:anchor="_Toc241498813" w:history="1">
        <w:r w:rsidRPr="004B55F8">
          <w:rPr>
            <w:rStyle w:val="Hyperlink"/>
            <w:rFonts w:cs="Arial"/>
            <w:noProof/>
          </w:rPr>
          <w:t>6.2.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  <w:lang w:val="es-CO"/>
          </w:rPr>
          <w:tab/>
        </w:r>
        <w:r w:rsidRPr="004B55F8">
          <w:rPr>
            <w:rStyle w:val="Hyperlink"/>
            <w:rFonts w:cs="Arial"/>
            <w:noProof/>
          </w:rPr>
          <w:t>ENCONTRADAS HASTA EL MOMENTO.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540EB9" w14:textId="4448F031" w:rsidR="00C92ED1" w:rsidRDefault="004B15AE">
      <w:pPr>
        <w:spacing w:after="0" w:line="240" w:lineRule="auto"/>
      </w:pPr>
      <w:r>
        <w:rPr>
          <w:rFonts w:ascii="Arial" w:hAnsi="Arial" w:cs="Arial"/>
          <w:sz w:val="20"/>
          <w:szCs w:val="20"/>
        </w:rPr>
        <w:fldChar w:fldCharType="end"/>
      </w:r>
    </w:p>
    <w:p w14:paraId="67C5A0F4" w14:textId="77777777" w:rsidR="003125C6" w:rsidRPr="00314907" w:rsidRDefault="002835BE" w:rsidP="00314907">
      <w:pPr>
        <w:pStyle w:val="Heading1"/>
        <w:pageBreakBefore/>
        <w:numPr>
          <w:ilvl w:val="0"/>
          <w:numId w:val="29"/>
        </w:num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0" w:name="_Toc508707055"/>
      <w:bookmarkStart w:id="1" w:name="_Toc241498802"/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CUANTIFI</w:t>
      </w:r>
      <w:r w:rsidR="008C60FF"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C</w:t>
      </w: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ACI</w:t>
      </w:r>
      <w:r w:rsid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Ó</w:t>
      </w: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N DEL PORCENTAJE DE LOGRO DE CADA UNO DE LOS OBJETIVOS DEL PROYECTO</w:t>
      </w:r>
      <w:bookmarkEnd w:id="0"/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bookmarkEnd w:id="1"/>
    </w:p>
    <w:p w14:paraId="23BC9100" w14:textId="77777777" w:rsidR="00C92ED1" w:rsidRDefault="004B15AE">
      <w:pPr>
        <w:spacing w:before="120" w:after="120" w:line="240" w:lineRule="auto"/>
        <w:jc w:val="both"/>
      </w:pPr>
      <w:r>
        <w:rPr>
          <w:rFonts w:ascii="Arial" w:hAnsi="Arial" w:cs="Arial"/>
        </w:rPr>
        <w:t>Los objetivos se transcriben del Anexo 1 [1]. Los cuatro objetivos específicos son necesarios para cumplir el general, por lo que cada uno pesa 25 %. El avance de cada objetivo específico no es</w:t>
      </w:r>
      <w:r>
        <w:rPr>
          <w:rFonts w:ascii="Arial" w:hAnsi="Arial" w:cs="Arial"/>
        </w:rPr>
        <w:t xml:space="preserve"> una apreciación: es la suma ponderada del avance de sus actividades, detalladas en la Sección 2, A</w:t>
      </w:r>
      <w:r>
        <w:rPr>
          <w:rFonts w:ascii="Arial" w:hAnsi="Arial" w:cs="Arial"/>
          <w:vertAlign w:val="subscript"/>
        </w:rPr>
        <w:t>OE</w:t>
      </w:r>
      <w:r>
        <w:rPr>
          <w:rFonts w:ascii="Arial" w:hAnsi="Arial" w:cs="Arial"/>
        </w:rPr>
        <w:t xml:space="preserve"> = Σ</w:t>
      </w:r>
      <w:r>
        <w:rPr>
          <w:rFonts w:ascii="Arial" w:hAnsi="Arial" w:cs="Arial"/>
          <w:vertAlign w:val="subscript"/>
        </w:rPr>
        <w:t>i</w:t>
      </w:r>
      <w:r>
        <w:rPr>
          <w:rFonts w:ascii="Arial" w:hAnsi="Arial" w:cs="Arial"/>
        </w:rPr>
        <w:t xml:space="preserve"> p</w:t>
      </w:r>
      <w:r>
        <w:rPr>
          <w:rFonts w:ascii="Arial" w:hAnsi="Arial" w:cs="Arial"/>
          <w:vertAlign w:val="subscript"/>
        </w:rPr>
        <w:t>i</w:t>
      </w:r>
      <w:r>
        <w:rPr>
          <w:rFonts w:ascii="Arial" w:hAnsi="Arial" w:cs="Arial"/>
        </w:rPr>
        <w:t xml:space="preserve"> · a</w:t>
      </w:r>
      <w:r>
        <w:rPr>
          <w:rFonts w:ascii="Arial" w:hAnsi="Arial" w:cs="Arial"/>
          <w:vertAlign w:val="subscript"/>
        </w:rPr>
        <w:t>i</w:t>
      </w:r>
      <w:r>
        <w:rPr>
          <w:rFonts w:ascii="Arial" w:hAnsi="Arial" w:cs="Arial"/>
        </w:rPr>
        <w:t>, donde p</w:t>
      </w:r>
      <w:r>
        <w:rPr>
          <w:rFonts w:ascii="Arial" w:hAnsi="Arial" w:cs="Arial"/>
          <w:vertAlign w:val="subscript"/>
        </w:rPr>
        <w:t>i</w:t>
      </w:r>
      <w:r>
        <w:rPr>
          <w:rFonts w:ascii="Arial" w:hAnsi="Arial" w:cs="Arial"/>
        </w:rPr>
        <w:t xml:space="preserve"> es el peso de la actividad i en el objetivo (Σ</w:t>
      </w:r>
      <w:r>
        <w:rPr>
          <w:rFonts w:ascii="Arial" w:hAnsi="Arial" w:cs="Arial"/>
          <w:vertAlign w:val="subscript"/>
        </w:rPr>
        <w:t>i</w:t>
      </w:r>
      <w:r>
        <w:rPr>
          <w:rFonts w:ascii="Arial" w:hAnsi="Arial" w:cs="Arial"/>
        </w:rPr>
        <w:t xml:space="preserve"> p</w:t>
      </w:r>
      <w:r>
        <w:rPr>
          <w:rFonts w:ascii="Arial" w:hAnsi="Arial" w:cs="Arial"/>
          <w:vertAlign w:val="subscript"/>
        </w:rPr>
        <w:t>i</w:t>
      </w:r>
      <w:r>
        <w:rPr>
          <w:rFonts w:ascii="Arial" w:hAnsi="Arial" w:cs="Arial"/>
        </w:rPr>
        <w:t xml:space="preserve"> = 100 %) y a</w:t>
      </w:r>
      <w:r>
        <w:rPr>
          <w:rFonts w:ascii="Arial" w:hAnsi="Arial" w:cs="Arial"/>
          <w:vertAlign w:val="subscript"/>
        </w:rPr>
        <w:t>i</w:t>
      </w:r>
      <w:r>
        <w:rPr>
          <w:rFonts w:ascii="Arial" w:hAnsi="Arial" w:cs="Arial"/>
        </w:rPr>
        <w:t xml:space="preserve"> su avance. El avance del objetivo general es 0,25 · (100 + 90 + 70</w:t>
      </w:r>
      <w:r>
        <w:rPr>
          <w:rFonts w:ascii="Arial" w:hAnsi="Arial" w:cs="Arial"/>
        </w:rPr>
        <w:t xml:space="preserve"> + 35) = 73,75 % ≈ 74 %.</w:t>
      </w:r>
    </w:p>
    <w:p w14:paraId="1413771B" w14:textId="77777777" w:rsidR="00C92ED1" w:rsidRDefault="004B15AE">
      <w:pPr>
        <w:keepNext/>
        <w:spacing w:before="120" w:after="6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Tabla 1. Cuantificación del porcentaje de logro de los objetivos (corte: 26/09/2026).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5245"/>
        <w:gridCol w:w="1417"/>
        <w:gridCol w:w="895"/>
      </w:tblGrid>
      <w:tr w:rsidR="00A3304D" w14:paraId="5DF539BC" w14:textId="77777777" w:rsidTr="00440BAC">
        <w:trPr>
          <w:cantSplit/>
          <w:jc w:val="center"/>
        </w:trPr>
        <w:tc>
          <w:tcPr>
            <w:tcW w:w="6516" w:type="dxa"/>
            <w:gridSpan w:val="2"/>
          </w:tcPr>
          <w:p w14:paraId="49CD12EF" w14:textId="77777777" w:rsidR="00A3304D" w:rsidRPr="00184A97" w:rsidRDefault="00A3304D" w:rsidP="00A3304D">
            <w:pPr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 w:rsidRPr="00184A97"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  <w:t>Objetivos</w:t>
            </w:r>
          </w:p>
        </w:tc>
        <w:tc>
          <w:tcPr>
            <w:tcW w:w="1417" w:type="dxa"/>
          </w:tcPr>
          <w:p w14:paraId="5B5C49A4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 w:rsidRPr="00184A97"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  <w:t>% de Avance</w:t>
            </w:r>
          </w:p>
        </w:tc>
        <w:tc>
          <w:tcPr>
            <w:tcW w:w="895" w:type="dxa"/>
          </w:tcPr>
          <w:p w14:paraId="7E820B37" w14:textId="77777777" w:rsidR="00A3304D" w:rsidRPr="00184A97" w:rsidRDefault="00A3304D" w:rsidP="006B1661">
            <w:pPr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 w:rsidRPr="00184A97"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  <w:t>Peso</w:t>
            </w:r>
          </w:p>
        </w:tc>
      </w:tr>
      <w:tr w:rsidR="00A3304D" w14:paraId="7B86EF30" w14:textId="77777777" w:rsidTr="00440BAC">
        <w:trPr>
          <w:cantSplit/>
          <w:jc w:val="center"/>
        </w:trPr>
        <w:tc>
          <w:tcPr>
            <w:tcW w:w="1271" w:type="dxa"/>
          </w:tcPr>
          <w:p w14:paraId="23B4CBC6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General</w:t>
            </w:r>
          </w:p>
        </w:tc>
        <w:tc>
          <w:tcPr>
            <w:tcW w:w="5245" w:type="dxa"/>
          </w:tcPr>
          <w:p w14:paraId="69FA22AD" w14:textId="77777777" w:rsidR="00A3304D" w:rsidRPr="00184A97" w:rsidRDefault="00A3304D" w:rsidP="006B1661">
            <w:pPr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Diseñar, implementar y validar una plataforma de procesamiento de datos que permita el análisis y pronóstico del precio de la energía en el mercado eléctrico colombiano para la toma de decisiones.</w:t>
            </w:r>
          </w:p>
        </w:tc>
        <w:tc>
          <w:tcPr>
            <w:tcW w:w="1417" w:type="dxa"/>
            <w:vAlign w:val="center"/>
          </w:tcPr>
          <w:p w14:paraId="3C112615" w14:textId="77777777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74 %</w:t>
            </w:r>
          </w:p>
        </w:tc>
        <w:tc>
          <w:tcPr>
            <w:tcW w:w="895" w:type="dxa"/>
            <w:vAlign w:val="center"/>
          </w:tcPr>
          <w:p w14:paraId="78EEC84B" w14:textId="77777777" w:rsidR="00A3304D" w:rsidRPr="00184A97" w:rsidRDefault="00314907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100 %</w:t>
            </w:r>
          </w:p>
        </w:tc>
      </w:tr>
      <w:tr w:rsidR="00A3304D" w14:paraId="42366E2D" w14:textId="77777777" w:rsidTr="00440BAC">
        <w:trPr>
          <w:cantSplit/>
          <w:jc w:val="center"/>
        </w:trPr>
        <w:tc>
          <w:tcPr>
            <w:tcW w:w="1271" w:type="dxa"/>
          </w:tcPr>
          <w:p w14:paraId="0292EDB7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Específico 1</w:t>
            </w:r>
          </w:p>
        </w:tc>
        <w:tc>
          <w:tcPr>
            <w:tcW w:w="5245" w:type="dxa"/>
          </w:tcPr>
          <w:p w14:paraId="59B640E6" w14:textId="77777777" w:rsidR="00A3304D" w:rsidRPr="00184A97" w:rsidRDefault="00A3304D" w:rsidP="006B1661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Adquirir, sincronizar y caracterizar temporal y espectralmente las series históricas de las variables del mercado, mediante técnicas de procesamiento de datos, para seleccionar variables predictoras.</w:t>
            </w:r>
          </w:p>
        </w:tc>
        <w:tc>
          <w:tcPr>
            <w:tcW w:w="1417" w:type="dxa"/>
            <w:vAlign w:val="center"/>
          </w:tcPr>
          <w:p w14:paraId="3FE492F8" w14:textId="77777777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100 %</w:t>
            </w:r>
          </w:p>
        </w:tc>
        <w:tc>
          <w:tcPr>
            <w:tcW w:w="895" w:type="dxa"/>
            <w:vAlign w:val="center"/>
          </w:tcPr>
          <w:p w14:paraId="3EE715A7" w14:textId="77777777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25 %</w:t>
            </w:r>
          </w:p>
        </w:tc>
      </w:tr>
      <w:tr w:rsidR="00A3304D" w14:paraId="4239E47F" w14:textId="77777777" w:rsidTr="00440BAC">
        <w:trPr>
          <w:cantSplit/>
          <w:jc w:val="center"/>
        </w:trPr>
        <w:tc>
          <w:tcPr>
            <w:tcW w:w="1271" w:type="dxa"/>
          </w:tcPr>
          <w:p w14:paraId="3D2D8B44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Específico 2</w:t>
            </w:r>
          </w:p>
        </w:tc>
        <w:tc>
          <w:tcPr>
            <w:tcW w:w="5245" w:type="dxa"/>
          </w:tcPr>
          <w:p w14:paraId="17447E28" w14:textId="77777777" w:rsidR="00A3304D" w:rsidRPr="00184A97" w:rsidRDefault="006B1661" w:rsidP="006B1661">
            <w:pPr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Implementar y evaluar diferentes modelos de pronóstico del precio de bolsa, comparando precisión frente a persistencia, robustez, costo computacional e interpretabilidad.</w:t>
            </w:r>
          </w:p>
        </w:tc>
        <w:tc>
          <w:tcPr>
            <w:tcW w:w="1417" w:type="dxa"/>
            <w:vAlign w:val="center"/>
          </w:tcPr>
          <w:p w14:paraId="39A87ED4" w14:textId="77777777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90 %</w:t>
            </w:r>
          </w:p>
        </w:tc>
        <w:tc>
          <w:tcPr>
            <w:tcW w:w="895" w:type="dxa"/>
            <w:vAlign w:val="center"/>
          </w:tcPr>
          <w:p w14:paraId="10164AA2" w14:textId="77777777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25 %</w:t>
            </w:r>
          </w:p>
        </w:tc>
      </w:tr>
      <w:tr w:rsidR="00A3304D" w14:paraId="135D1B93" w14:textId="77777777" w:rsidTr="00440BAC">
        <w:trPr>
          <w:cantSplit/>
          <w:jc w:val="center"/>
        </w:trPr>
        <w:tc>
          <w:tcPr>
            <w:tcW w:w="1271" w:type="dxa"/>
          </w:tcPr>
          <w:p w14:paraId="41FFA617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Específico 3</w:t>
            </w:r>
          </w:p>
        </w:tc>
        <w:tc>
          <w:tcPr>
            <w:tcW w:w="5245" w:type="dxa"/>
          </w:tcPr>
          <w:p w14:paraId="0793A4EA" w14:textId="77777777" w:rsidR="00A3304D" w:rsidRPr="00184A97" w:rsidRDefault="00A3304D" w:rsidP="006B1661">
            <w:pPr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Diseñar e implementar un motor de decisión que traduzca los pronósticos y su incertidumbre en señales de compra, venta o espera.</w:t>
            </w:r>
          </w:p>
        </w:tc>
        <w:tc>
          <w:tcPr>
            <w:tcW w:w="1417" w:type="dxa"/>
            <w:vAlign w:val="center"/>
          </w:tcPr>
          <w:p w14:paraId="462A4F58" w14:textId="77777777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70 %</w:t>
            </w:r>
          </w:p>
        </w:tc>
        <w:tc>
          <w:tcPr>
            <w:tcW w:w="895" w:type="dxa"/>
            <w:vAlign w:val="center"/>
          </w:tcPr>
          <w:p w14:paraId="6032AE7F" w14:textId="77777777" w:rsidR="00A3304D" w:rsidRPr="00184A97" w:rsidRDefault="00A3304D" w:rsidP="00314907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25 %</w:t>
            </w:r>
          </w:p>
        </w:tc>
      </w:tr>
      <w:tr w:rsidR="00A3304D" w14:paraId="6F85B4D9" w14:textId="77777777" w:rsidTr="00440BAC">
        <w:trPr>
          <w:cantSplit/>
          <w:jc w:val="center"/>
        </w:trPr>
        <w:tc>
          <w:tcPr>
            <w:tcW w:w="1271" w:type="dxa"/>
          </w:tcPr>
          <w:p w14:paraId="75F79D48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Específico 4</w:t>
            </w:r>
          </w:p>
        </w:tc>
        <w:tc>
          <w:tcPr>
            <w:tcW w:w="5245" w:type="dxa"/>
          </w:tcPr>
          <w:p w14:paraId="3759CCEA" w14:textId="77777777" w:rsidR="00A3304D" w:rsidRPr="00184A97" w:rsidRDefault="00A3304D" w:rsidP="006B1661">
            <w:pPr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Validar el funcionamiento del motor para la toma de decisiones.</w:t>
            </w:r>
          </w:p>
        </w:tc>
        <w:tc>
          <w:tcPr>
            <w:tcW w:w="1417" w:type="dxa"/>
            <w:vAlign w:val="center"/>
          </w:tcPr>
          <w:p w14:paraId="0B170D4B" w14:textId="77777777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35 %</w:t>
            </w:r>
          </w:p>
        </w:tc>
        <w:tc>
          <w:tcPr>
            <w:tcW w:w="895" w:type="dxa"/>
            <w:vAlign w:val="center"/>
          </w:tcPr>
          <w:p w14:paraId="0E65B963" w14:textId="77777777" w:rsidR="00A3304D" w:rsidRPr="00184A97" w:rsidRDefault="00A3304D" w:rsidP="00314907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hAnsi="Arial" w:cs="Arial"/>
                <w:sz w:val="18"/>
                <w:szCs w:val="18"/>
              </w:rPr>
              <w:t>25 %</w:t>
            </w:r>
          </w:p>
        </w:tc>
      </w:tr>
    </w:tbl>
    <w:p w14:paraId="7777D746" w14:textId="77777777" w:rsidR="00C92ED1" w:rsidRDefault="00C92ED1">
      <w:pPr>
        <w:spacing w:after="60" w:line="240" w:lineRule="auto"/>
        <w:jc w:val="both"/>
      </w:pPr>
    </w:p>
    <w:p w14:paraId="4B8A8EBE" w14:textId="77777777" w:rsidR="00210987" w:rsidRDefault="003125C6" w:rsidP="00210987">
      <w:pPr>
        <w:pStyle w:val="Heading1"/>
        <w:numPr>
          <w:ilvl w:val="0"/>
          <w:numId w:val="29"/>
        </w:num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2" w:name="_Toc508707056"/>
      <w:bookmarkStart w:id="3" w:name="_Toc241498803"/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EXPLICACIÓN DETALLADA Y RIGUROSA, DESDE EL PUNTO DE VISTA DE INGENIERÍA, DE LA </w:t>
      </w:r>
      <w:r w:rsidR="00BC3E2C"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METODOLOG</w:t>
      </w:r>
      <w:r w:rsidR="002835BE"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IA Y ACTIVIDADES REALIZADAS PARA LA CONSECUCION DE LOS OBJETIVOS DEL PROYECTO</w:t>
      </w:r>
      <w:bookmarkEnd w:id="2"/>
      <w:r w:rsidR="002835BE"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bookmarkEnd w:id="3"/>
    </w:p>
    <w:p w14:paraId="1D92E1AC" w14:textId="77777777" w:rsidR="00C92ED1" w:rsidRDefault="004B15AE">
      <w:pPr>
        <w:spacing w:before="120" w:after="120" w:line="240" w:lineRule="auto"/>
        <w:jc w:val="both"/>
      </w:pPr>
      <w:r>
        <w:rPr>
          <w:rFonts w:ascii="Arial" w:hAnsi="Arial" w:cs="Arial"/>
        </w:rPr>
        <w:t>El proyecto sigue las cinco fases de la metodología del Anexo 1 [1]: cadena de procesamie</w:t>
      </w:r>
      <w:r>
        <w:rPr>
          <w:rFonts w:ascii="Arial" w:hAnsi="Arial" w:cs="Arial"/>
        </w:rPr>
        <w:t xml:space="preserve">nto y caracterización (OE1), extracción de características y modelado (OE2), comparación formal y motor de decisión (OE3), imágenes de decisión y validación (OE3 y OE4) y cierre. Todo elemento del sistema (variable, modelo, combinador, calibración o regla </w:t>
      </w:r>
      <w:r>
        <w:rPr>
          <w:rFonts w:ascii="Arial" w:hAnsi="Arial" w:cs="Arial"/>
        </w:rPr>
        <w:t>de decisión) se definió con el mismo procedimiento de ingeniería: (1) se formula frente a una alternativa o línea base explícita; (2) se evalúa estrictamente fuera de muestra, con entrenamiento en 2019-2025, ajuste de hiperparámetros contra 2025 y prueba e</w:t>
      </w:r>
      <w:r>
        <w:rPr>
          <w:rFonts w:ascii="Arial" w:hAnsi="Arial" w:cs="Arial"/>
        </w:rPr>
        <w:t>n enero-agosto de 2026 (5.184 horas nunca vistas); (3) se adopta solo si la mejora es estadísticamente significativa en la prueba de Diebold-Mariano (p &lt; 0,05) [2] y, cuando el procedimiento tiene aleatoriedad, si se repite en 10 particiones distintas; y (</w:t>
      </w:r>
      <w:r>
        <w:rPr>
          <w:rFonts w:ascii="Arial" w:hAnsi="Arial" w:cs="Arial"/>
        </w:rPr>
        <w:t>4) se documenta en la bitácora del repositorio, incluidos los intentos que no mejoraron. Este protocolo sigue las buenas prácticas del área de pronóstico de precios de electricidad [3], [4] y evita dos errores comunes en pronóstico de precios: la fuga de i</w:t>
      </w:r>
      <w:r>
        <w:rPr>
          <w:rFonts w:ascii="Arial" w:hAnsi="Arial" w:cs="Arial"/>
        </w:rPr>
        <w:t>nformación futura y la selección del modelo con el mismo periodo con el que se reporta. La Figura 1 muestra la arquitectura resultante y su relación con los objetivos.</w:t>
      </w:r>
    </w:p>
    <w:p w14:paraId="26E84460" w14:textId="77777777" w:rsidR="00C92ED1" w:rsidRDefault="004B15A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199008E" wp14:editId="05B6FE83">
            <wp:extent cx="4500000" cy="33353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diagrama_bloqu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3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D5E4" w14:textId="77777777" w:rsidR="00C92ED1" w:rsidRDefault="004B15AE">
      <w:pPr>
        <w:spacing w:after="20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Figura 1. Diagrama de bloques de la plataforma y su relación con los objetivos específicos. Fuente: elaboración propia.</w:t>
      </w:r>
    </w:p>
    <w:p w14:paraId="3D815C74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En cada actividad, el </w:t>
      </w:r>
      <w:r>
        <w:rPr>
          <w:rFonts w:ascii="Arial" w:hAnsi="Arial" w:cs="Arial"/>
          <w:b/>
        </w:rPr>
        <w:t>tiempo</w:t>
      </w:r>
      <w:r>
        <w:rPr>
          <w:rFonts w:ascii="Arial" w:hAnsi="Arial" w:cs="Arial"/>
        </w:rPr>
        <w:t xml:space="preserve"> es la duración asignada en el cronograma del Anexo 1 (la Sección 3 compara lo planeado con lo ejecutado) o, para las actividades que no figuran en él, la duración estimada de ejecución; el </w:t>
      </w:r>
      <w:r>
        <w:rPr>
          <w:rFonts w:ascii="Arial" w:hAnsi="Arial" w:cs="Arial"/>
          <w:b/>
        </w:rPr>
        <w:t>peso</w:t>
      </w:r>
      <w:r>
        <w:rPr>
          <w:rFonts w:ascii="Arial" w:hAnsi="Arial" w:cs="Arial"/>
        </w:rPr>
        <w:t xml:space="preserve"> es su participación en el objetivo y el </w:t>
      </w:r>
      <w:r>
        <w:rPr>
          <w:rFonts w:ascii="Arial" w:hAnsi="Arial" w:cs="Arial"/>
          <w:b/>
        </w:rPr>
        <w:t>avance</w:t>
      </w:r>
      <w:r>
        <w:rPr>
          <w:rFonts w:ascii="Arial" w:hAnsi="Arial" w:cs="Arial"/>
        </w:rPr>
        <w:t>, su grado de t</w:t>
      </w:r>
      <w:r>
        <w:rPr>
          <w:rFonts w:ascii="Arial" w:hAnsi="Arial" w:cs="Arial"/>
        </w:rPr>
        <w:t>erminación a la fecha de corte.</w:t>
      </w:r>
    </w:p>
    <w:p w14:paraId="26C492B4" w14:textId="77777777" w:rsidR="00210987" w:rsidRPr="00C0027C" w:rsidRDefault="00C0027C" w:rsidP="00C0027C">
      <w:pPr>
        <w:pStyle w:val="Heading2"/>
        <w:ind w:firstLine="284"/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</w:pPr>
      <w:bookmarkStart w:id="4" w:name="_Toc241498804"/>
      <w:r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  <w:t>2.1 Actividades realizadas que contribuyen al logro del objetivo específico 1:</w:t>
      </w:r>
      <w:bookmarkEnd w:id="4"/>
    </w:p>
    <w:p w14:paraId="5E3CBE95" w14:textId="77777777" w:rsidR="00C92ED1" w:rsidRDefault="004B15AE">
      <w:pPr>
        <w:spacing w:before="60" w:line="240" w:lineRule="auto"/>
        <w:jc w:val="both"/>
      </w:pPr>
      <w:r>
        <w:rPr>
          <w:rFonts w:ascii="Arial" w:hAnsi="Arial" w:cs="Arial"/>
          <w:i/>
        </w:rPr>
        <w:t>OE1. Adquirir, sincronizar y caracterizar temporal y espectralmente las series históricas de las variables del mercado, mediante técnicas de proc</w:t>
      </w:r>
      <w:r>
        <w:rPr>
          <w:rFonts w:ascii="Arial" w:hAnsi="Arial" w:cs="Arial"/>
          <w:i/>
        </w:rPr>
        <w:t>esamiento de datos, para seleccionar variables predictoras.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Avance: 100 %.</w:t>
      </w:r>
    </w:p>
    <w:p w14:paraId="5B684700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Adquisición automatizada y sincronización de las series en un dataset maestro horario</w:t>
      </w:r>
    </w:p>
    <w:p w14:paraId="4A78A1EB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Se implementó una función propia de descarga contra la API REST pública de XM [5], porque la li</w:t>
      </w:r>
      <w:r>
        <w:rPr>
          <w:rFonts w:ascii="Arial" w:hAnsi="Arial" w:cs="Arial"/>
        </w:rPr>
        <w:t xml:space="preserve">brería </w:t>
      </w:r>
      <w:r>
        <w:rPr>
          <w:rFonts w:ascii="Arial" w:hAnsi="Arial" w:cs="Arial"/>
          <w:i/>
        </w:rPr>
        <w:t>pydataxm</w:t>
      </w:r>
      <w:r>
        <w:rPr>
          <w:rFonts w:ascii="Arial" w:hAnsi="Arial" w:cs="Arial"/>
        </w:rPr>
        <w:t xml:space="preserve"> resultó incompatible con la versión de pandas del entorno. La función consulta por lotes las métricas horarias de precio de bolsa, demanda real y generación total, y las diarias de volumen útil de embalses y aportes hídricos; un segundo lec</w:t>
      </w:r>
      <w:r>
        <w:rPr>
          <w:rFonts w:ascii="Arial" w:hAnsi="Arial" w:cs="Arial"/>
        </w:rPr>
        <w:t>tor toma el Índice Oceánico del Niño (ONI) publicado por NOAA [6]. Las seis series se alinearon sobre una malla horaria única en hora legal de Colombia (UTC−5, sin horario de verano), con marcas de tiempo ISO 8601 [7] para unir sin ambigüedad fuentes de re</w:t>
      </w:r>
      <w:r>
        <w:rPr>
          <w:rFonts w:ascii="Arial" w:hAnsi="Arial" w:cs="Arial"/>
        </w:rPr>
        <w:t xml:space="preserve">solución horaria, diaria y mensual. El resultado es un dataset maestro de </w:t>
      </w:r>
      <w:r>
        <w:rPr>
          <w:rFonts w:ascii="Arial" w:hAnsi="Arial" w:cs="Arial"/>
          <w:b/>
        </w:rPr>
        <w:t>66.576 horas continuas</w:t>
      </w:r>
      <w:r>
        <w:rPr>
          <w:rFonts w:ascii="Arial" w:hAnsi="Arial" w:cs="Arial"/>
        </w:rPr>
        <w:t xml:space="preserve"> (1 de enero de 2019 a 5 de agosto de 2026), sin huecos ni duplicados, verificado con una prueba de continuidad del índice temporal (diferencia constante de 1 h</w:t>
      </w:r>
      <w:r>
        <w:rPr>
          <w:rFonts w:ascii="Arial" w:hAnsi="Arial" w:cs="Arial"/>
        </w:rPr>
        <w:t xml:space="preserve"> entre registros consecutivos). La Tabla 2 resume las fuentes. La Figura 2 muestra el promedio diario del precio (cada punto resume las 24 horas de un día) con los episodios de El Niño y La Niña marcados según el ONI; se usa para ver de un vistazo la relac</w:t>
      </w:r>
      <w:r>
        <w:rPr>
          <w:rFonts w:ascii="Arial" w:hAnsi="Arial" w:cs="Arial"/>
        </w:rPr>
        <w:t>ión entre el nivel del precio y el clima, que es la señal principal.</w:t>
      </w:r>
    </w:p>
    <w:p w14:paraId="10E882D3" w14:textId="77777777" w:rsidR="00C92ED1" w:rsidRDefault="004B15AE">
      <w:pPr>
        <w:keepNext/>
        <w:spacing w:before="120" w:after="6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lastRenderedPageBreak/>
        <w:t>Tabla 2. Fuentes de datos, resolución original y tratamiento para llevarlas a resolución horaria.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5"/>
        <w:gridCol w:w="1070"/>
        <w:gridCol w:w="1546"/>
        <w:gridCol w:w="1427"/>
        <w:gridCol w:w="2616"/>
      </w:tblGrid>
      <w:tr w:rsidR="00C92ED1" w14:paraId="1BD0B40C" w14:textId="77777777">
        <w:trPr>
          <w:tblHeader/>
          <w:jc w:val="center"/>
        </w:trPr>
        <w:tc>
          <w:tcPr>
            <w:tcW w:w="2736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EF92F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Variable</w:t>
            </w:r>
          </w:p>
        </w:tc>
        <w:tc>
          <w:tcPr>
            <w:tcW w:w="107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E533E3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Fuente</w:t>
            </w:r>
          </w:p>
        </w:tc>
        <w:tc>
          <w:tcPr>
            <w:tcW w:w="1546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0493D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Resolución original</w:t>
            </w:r>
          </w:p>
        </w:tc>
        <w:tc>
          <w:tcPr>
            <w:tcW w:w="1427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A842B3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Unidad</w:t>
            </w:r>
          </w:p>
        </w:tc>
        <w:tc>
          <w:tcPr>
            <w:tcW w:w="2617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138B3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Paso a resolución horaria</w:t>
            </w:r>
          </w:p>
        </w:tc>
      </w:tr>
      <w:tr w:rsidR="00C92ED1" w14:paraId="44A1082F" w14:textId="77777777">
        <w:trPr>
          <w:cantSplit/>
          <w:jc w:val="center"/>
        </w:trPr>
        <w:tc>
          <w:tcPr>
            <w:tcW w:w="27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97E107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Precio de bolsa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A08F43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XM</w:t>
            </w:r>
          </w:p>
        </w:tc>
        <w:tc>
          <w:tcPr>
            <w:tcW w:w="15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A4EB0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Horaria</w:t>
            </w:r>
          </w:p>
        </w:tc>
        <w:tc>
          <w:tcPr>
            <w:tcW w:w="142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D81F2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COP/kWh</w:t>
            </w:r>
          </w:p>
        </w:tc>
        <w:tc>
          <w:tcPr>
            <w:tcW w:w="261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2F6E22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Directo</w:t>
            </w:r>
          </w:p>
        </w:tc>
      </w:tr>
      <w:tr w:rsidR="00C92ED1" w14:paraId="154306FD" w14:textId="77777777">
        <w:trPr>
          <w:cantSplit/>
          <w:jc w:val="center"/>
        </w:trPr>
        <w:tc>
          <w:tcPr>
            <w:tcW w:w="27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C3DA3F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Demanda real del sistema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98A7A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XM</w:t>
            </w:r>
          </w:p>
        </w:tc>
        <w:tc>
          <w:tcPr>
            <w:tcW w:w="15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64D32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Horaria</w:t>
            </w:r>
          </w:p>
        </w:tc>
        <w:tc>
          <w:tcPr>
            <w:tcW w:w="142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04D04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kWh</w:t>
            </w:r>
          </w:p>
        </w:tc>
        <w:tc>
          <w:tcPr>
            <w:tcW w:w="261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B67F6C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Directo</w:t>
            </w:r>
          </w:p>
        </w:tc>
      </w:tr>
      <w:tr w:rsidR="00C92ED1" w14:paraId="5FF139A5" w14:textId="77777777">
        <w:trPr>
          <w:cantSplit/>
          <w:jc w:val="center"/>
        </w:trPr>
        <w:tc>
          <w:tcPr>
            <w:tcW w:w="27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6FC697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Generación total del sistema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226EE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XM</w:t>
            </w:r>
          </w:p>
        </w:tc>
        <w:tc>
          <w:tcPr>
            <w:tcW w:w="15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05DB9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Horaria</w:t>
            </w:r>
          </w:p>
        </w:tc>
        <w:tc>
          <w:tcPr>
            <w:tcW w:w="142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C67F9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kWh</w:t>
            </w:r>
          </w:p>
        </w:tc>
        <w:tc>
          <w:tcPr>
            <w:tcW w:w="261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1857E8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Directo</w:t>
            </w:r>
          </w:p>
        </w:tc>
      </w:tr>
      <w:tr w:rsidR="00C92ED1" w14:paraId="35BD773F" w14:textId="77777777">
        <w:trPr>
          <w:cantSplit/>
          <w:jc w:val="center"/>
        </w:trPr>
        <w:tc>
          <w:tcPr>
            <w:tcW w:w="27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3D4B07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Volumen útil de embalses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742E7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XM</w:t>
            </w:r>
          </w:p>
        </w:tc>
        <w:tc>
          <w:tcPr>
            <w:tcW w:w="15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26C2A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Diaria</w:t>
            </w:r>
          </w:p>
        </w:tc>
        <w:tc>
          <w:tcPr>
            <w:tcW w:w="142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054DA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kWh (energía)</w:t>
            </w:r>
          </w:p>
        </w:tc>
        <w:tc>
          <w:tcPr>
            <w:tcW w:w="261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814EEC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Interpolación lineal</w:t>
            </w:r>
          </w:p>
        </w:tc>
      </w:tr>
      <w:tr w:rsidR="00C92ED1" w14:paraId="4C76E3DB" w14:textId="77777777">
        <w:trPr>
          <w:cantSplit/>
          <w:jc w:val="center"/>
        </w:trPr>
        <w:tc>
          <w:tcPr>
            <w:tcW w:w="27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94789E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Aportes hídricos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E40FE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XM</w:t>
            </w:r>
          </w:p>
        </w:tc>
        <w:tc>
          <w:tcPr>
            <w:tcW w:w="15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41F35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Diaria</w:t>
            </w:r>
          </w:p>
        </w:tc>
        <w:tc>
          <w:tcPr>
            <w:tcW w:w="142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21513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kWh (energía)</w:t>
            </w:r>
          </w:p>
        </w:tc>
        <w:tc>
          <w:tcPr>
            <w:tcW w:w="261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34463A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Interpolación lineal</w:t>
            </w:r>
          </w:p>
        </w:tc>
      </w:tr>
      <w:tr w:rsidR="00C92ED1" w14:paraId="1F3B257D" w14:textId="77777777">
        <w:trPr>
          <w:cantSplit/>
          <w:jc w:val="center"/>
        </w:trPr>
        <w:tc>
          <w:tcPr>
            <w:tcW w:w="27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018A9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ONI (anomalía de temperatura del Pacífico)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8EC589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NOAA CPC</w:t>
            </w:r>
          </w:p>
        </w:tc>
        <w:tc>
          <w:tcPr>
            <w:tcW w:w="15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3D172D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Mensual</w:t>
            </w:r>
          </w:p>
        </w:tc>
        <w:tc>
          <w:tcPr>
            <w:tcW w:w="142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AEDD50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°C</w:t>
            </w:r>
          </w:p>
        </w:tc>
        <w:tc>
          <w:tcPr>
            <w:tcW w:w="261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6CEFDF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Rampa causal (sin datos futuros)</w:t>
            </w:r>
          </w:p>
        </w:tc>
      </w:tr>
    </w:tbl>
    <w:p w14:paraId="3B1A0055" w14:textId="77777777" w:rsidR="00C92ED1" w:rsidRDefault="00C92ED1">
      <w:pPr>
        <w:spacing w:after="60" w:line="240" w:lineRule="auto"/>
        <w:jc w:val="both"/>
      </w:pPr>
    </w:p>
    <w:p w14:paraId="6F8B8123" w14:textId="77777777" w:rsidR="00C92ED1" w:rsidRDefault="004B15A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84EA089" wp14:editId="5B718368">
            <wp:extent cx="5040000" cy="20459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serie_o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07C3" w14:textId="77777777" w:rsidR="00C92ED1" w:rsidRDefault="004B15AE">
      <w:pPr>
        <w:spacing w:after="20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Figura 2. Precio de bolsa promedio diario 2019-2026 y episodios ENSO (naranja: El Niño, ONI ≥ 0,5; azul: La Niña, ONI ≤ −0,5). Fuente: elaboración propia con datos de XM y NOAA.</w:t>
      </w:r>
    </w:p>
    <w:p w14:paraId="74C49AFB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Barraza.</w:t>
      </w:r>
    </w:p>
    <w:p w14:paraId="357A728A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requests y pandas; API REST de XM (servapibi.xm.com.co); datos ONI de NOAA CPC; Jupyter (notebooks 01 y 02); Git y GitHub.</w:t>
      </w:r>
    </w:p>
    <w:p w14:paraId="3588EC94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7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30 %.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60E8B870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Tratamiento de faltantes y atípicos, y construcción de variables indicadoras</w:t>
      </w:r>
    </w:p>
    <w:p w14:paraId="5AF89640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Las series diarias se llevaron a resolución horaria por </w:t>
      </w:r>
      <w:r>
        <w:rPr>
          <w:rFonts w:ascii="Arial" w:hAnsi="Arial" w:cs="Arial"/>
          <w:b/>
        </w:rPr>
        <w:t>interpolación lineal</w:t>
      </w:r>
      <w:r>
        <w:rPr>
          <w:rFonts w:ascii="Arial" w:hAnsi="Arial" w:cs="Arial"/>
        </w:rPr>
        <w:t>. La alternativa de escalón (repetir el valor diario las 24 horas) se comparó en una ablación 2×2: la i</w:t>
      </w:r>
      <w:r>
        <w:rPr>
          <w:rFonts w:ascii="Arial" w:hAnsi="Arial" w:cs="Arial"/>
        </w:rPr>
        <w:t xml:space="preserve">nterpolación mejoró el horizonte de 72 h sin afectar el de 24 h, y es segura frente a fuga de información porque la variable entra al modelo rezagada al menos 24 h. Los valores extremos del precio </w:t>
      </w:r>
      <w:r>
        <w:rPr>
          <w:rFonts w:ascii="Arial" w:hAnsi="Arial" w:cs="Arial"/>
          <w:b/>
        </w:rPr>
        <w:t>no se eliminaron</w:t>
      </w:r>
      <w:r>
        <w:rPr>
          <w:rFonts w:ascii="Arial" w:hAnsi="Arial" w:cs="Arial"/>
        </w:rPr>
        <w:t>: la distribución tiene una cola larga real</w:t>
      </w:r>
      <w:r>
        <w:rPr>
          <w:rFonts w:ascii="Arial" w:hAnsi="Arial" w:cs="Arial"/>
        </w:rPr>
        <w:t xml:space="preserve"> (mediana 242,28 COP/kWh, percentil 99 de 1.449,73 y máximo de 2.675,65) que contiene la información de los regímenes secos; en lugar de recortarla, los modelos que lo requieren trabajan con el logaritmo del precio, dado que la media (336,7) supera ampliam</w:t>
      </w:r>
      <w:r>
        <w:rPr>
          <w:rFonts w:ascii="Arial" w:hAnsi="Arial" w:cs="Arial"/>
        </w:rPr>
        <w:t xml:space="preserve">ente a la mediana. Se construyeron dos variables de contexto: un </w:t>
      </w:r>
      <w:r>
        <w:rPr>
          <w:rFonts w:ascii="Arial" w:hAnsi="Arial" w:cs="Arial"/>
          <w:b/>
        </w:rPr>
        <w:t>indicador de pandemia</w:t>
      </w:r>
      <w:r>
        <w:rPr>
          <w:rFonts w:ascii="Arial" w:hAnsi="Arial" w:cs="Arial"/>
        </w:rPr>
        <w:t xml:space="preserve"> (25 de marzo a 31 de agosto de 2020), que conserva un año de datos en vez de excluir 2020, y el </w:t>
      </w:r>
      <w:r>
        <w:rPr>
          <w:rFonts w:ascii="Arial" w:hAnsi="Arial" w:cs="Arial"/>
          <w:b/>
        </w:rPr>
        <w:t>ONI como variable continua</w:t>
      </w:r>
      <w:r>
        <w:rPr>
          <w:rFonts w:ascii="Arial" w:hAnsi="Arial" w:cs="Arial"/>
        </w:rPr>
        <w:t xml:space="preserve"> con una rampa causal que solo usa valores ya p</w:t>
      </w:r>
      <w:r>
        <w:rPr>
          <w:rFonts w:ascii="Arial" w:hAnsi="Arial" w:cs="Arial"/>
        </w:rPr>
        <w:t xml:space="preserve">ublicados; interpolar el ONI con el mes siguiente habría introducido información futura. Durante la auditoría de reproducibilidad del 24 de septiembre se detectó que la demanda del 4-5 de agosto de 2026 llegaba de la fuente entre 70 % y 86 % por debajo de </w:t>
      </w:r>
      <w:r>
        <w:rPr>
          <w:rFonts w:ascii="Arial" w:hAnsi="Arial" w:cs="Arial"/>
        </w:rPr>
        <w:t>su valor real; se corrigió y se reentrenó toda la cadena (Sección 4).</w:t>
      </w:r>
    </w:p>
    <w:p w14:paraId="0DA8EEDE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lastRenderedPageBreak/>
        <w:t>Responsables:</w:t>
      </w:r>
      <w:r>
        <w:rPr>
          <w:rFonts w:ascii="Arial" w:hAnsi="Arial" w:cs="Arial"/>
        </w:rPr>
        <w:t xml:space="preserve"> Juan David Barceló Barraza.</w:t>
      </w:r>
    </w:p>
    <w:p w14:paraId="24E0776B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pandas y numpy; notebooks 02 y 03; scripts de auditoría de datos del repositorio.</w:t>
      </w:r>
    </w:p>
    <w:p w14:paraId="52520342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14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2F53EE71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Caracterización temporal y espectral del precio de bolsa</w:t>
      </w:r>
    </w:p>
    <w:p w14:paraId="41EF3B5E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Tras retirar la tendencia, se estimó el periodograma de la serie horaria [8] (Ecuación 1), con frecuencia de muestreo f</w:t>
      </w:r>
      <w:r>
        <w:rPr>
          <w:rFonts w:ascii="Arial" w:hAnsi="Arial" w:cs="Arial"/>
          <w:vertAlign w:val="subscript"/>
        </w:rPr>
        <w:t>s</w:t>
      </w:r>
      <w:r>
        <w:rPr>
          <w:rFonts w:ascii="Arial" w:hAnsi="Arial" w:cs="Arial"/>
        </w:rPr>
        <w:t xml:space="preserve"> = 1 muestra/h, de modo que la frecuencia </w:t>
      </w:r>
      <w:r>
        <w:rPr>
          <w:rFonts w:ascii="Arial" w:hAnsi="Arial" w:cs="Arial"/>
        </w:rPr>
        <w:t>de Nyquist es 0,5 ciclos/h y el período en horas es 1/f</w:t>
      </w:r>
      <w:r>
        <w:rPr>
          <w:rFonts w:ascii="Arial" w:hAnsi="Arial" w:cs="Arial"/>
          <w:vertAlign w:val="subscript"/>
        </w:rPr>
        <w:t>k</w:t>
      </w:r>
      <w:r>
        <w:rPr>
          <w:rFonts w:ascii="Arial" w:hAnsi="Arial" w:cs="Arial"/>
        </w:rPr>
        <w:t>: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7520"/>
        <w:gridCol w:w="940"/>
      </w:tblGrid>
      <w:tr w:rsidR="00C92ED1" w14:paraId="2DECD87F" w14:textId="77777777">
        <w:trPr>
          <w:cantSplit/>
          <w:jc w:val="center"/>
        </w:trPr>
        <w:tc>
          <w:tcPr>
            <w:tcW w:w="940" w:type="dxa"/>
            <w:vAlign w:val="center"/>
          </w:tcPr>
          <w:p w14:paraId="11C56895" w14:textId="77777777" w:rsidR="00C92ED1" w:rsidRDefault="00C92ED1">
            <w:pPr>
              <w:spacing w:after="0"/>
            </w:pPr>
          </w:p>
        </w:tc>
        <w:tc>
          <w:tcPr>
            <w:tcW w:w="7520" w:type="dxa"/>
            <w:vAlign w:val="center"/>
          </w:tcPr>
          <w:p w14:paraId="5D49D107" w14:textId="77777777" w:rsidR="00C92ED1" w:rsidRDefault="004B15AE">
            <w:pPr>
              <w:spacing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|</m:t>
                    </m:r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[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]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πkn</m:t>
                            </m:r>
                            <m:r>
                              <w:rPr>
                                <w:rFonts w:ascii="Cambria Math" w:hAnsi="Cambria Math"/>
                              </w:rPr>
                              <m:t>/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</w:rPr>
                      <m:t>|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,  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940" w:type="dxa"/>
            <w:vAlign w:val="center"/>
          </w:tcPr>
          <w:p w14:paraId="73E4DC85" w14:textId="77777777" w:rsidR="00C92ED1" w:rsidRDefault="004B15AE">
            <w:pPr>
              <w:spacing w:after="0"/>
              <w:jc w:val="right"/>
            </w:pPr>
            <w:r>
              <w:rPr>
                <w:rFonts w:ascii="Arial" w:hAnsi="Arial" w:cs="Arial"/>
              </w:rPr>
              <w:t>(1)</w:t>
            </w:r>
          </w:p>
        </w:tc>
      </w:tr>
    </w:tbl>
    <w:p w14:paraId="723A557A" w14:textId="77777777" w:rsidR="00C92ED1" w:rsidRDefault="00C92ED1">
      <w:pPr>
        <w:spacing w:after="0" w:line="240" w:lineRule="auto"/>
        <w:jc w:val="both"/>
      </w:pPr>
    </w:p>
    <w:p w14:paraId="42EE2540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La componente de </w:t>
      </w:r>
      <w:r>
        <w:rPr>
          <w:rFonts w:ascii="Arial" w:hAnsi="Arial" w:cs="Arial"/>
          <w:b/>
        </w:rPr>
        <w:t>24 h</w:t>
      </w:r>
      <w:r>
        <w:rPr>
          <w:rFonts w:ascii="Arial" w:hAnsi="Arial" w:cs="Arial"/>
        </w:rPr>
        <w:t xml:space="preserve"> es la dominante del espectro: su pico concentra por sí solo el 6,8 % de la potencia entre 2 y 2.000 h. Le siguen el armónico de 12 h, una componente semanal de 168 h y ciclos de 20 a 42 días asociados a la hidrología (Figura 3). Este resultado es una deci</w:t>
      </w:r>
      <w:r>
        <w:rPr>
          <w:rFonts w:ascii="Arial" w:hAnsi="Arial" w:cs="Arial"/>
        </w:rPr>
        <w:t>sión de diseño, no solo un diagnóstico: fija los rezagos de 24 y 168 h y los armónicos de calendario que usan todos los modelos (Actividad 2.1).</w:t>
      </w:r>
    </w:p>
    <w:p w14:paraId="4517F2DF" w14:textId="77777777" w:rsidR="00C92ED1" w:rsidRDefault="004B15A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CCB0C3E" wp14:editId="04A169BD">
            <wp:extent cx="4680000" cy="20082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periodogra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0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410F" w14:textId="77777777" w:rsidR="00C92ED1" w:rsidRDefault="004B15AE">
      <w:pPr>
        <w:spacing w:after="20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Figura 3. Periodograma del precio de bolsa sin tendencia, enero de 2019 a agosto de 2026. Líneas rojas: perío</w:t>
      </w:r>
      <w:r>
        <w:rPr>
          <w:rFonts w:ascii="Arial" w:hAnsi="Arial" w:cs="Arial"/>
          <w:i/>
          <w:sz w:val="20"/>
          <w:szCs w:val="20"/>
        </w:rPr>
        <w:t>dos de 12, 24 y 168 h.</w:t>
      </w:r>
    </w:p>
    <w:p w14:paraId="5745B371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Barraza.</w:t>
      </w:r>
    </w:p>
    <w:p w14:paraId="2801CB79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numpy, scipy.signal (periodograma) y matplotlib; notebook 03.</w:t>
      </w:r>
    </w:p>
    <w:p w14:paraId="67E79721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7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25 %.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3A9DB357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Comparación de filtros de tendencia: promedio móvil frente a Savitzky-Golay</w:t>
      </w:r>
    </w:p>
    <w:p w14:paraId="4EF5EF17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Para seguir el nivel del precio durante los cambios de régimen se compararon un promedio móvil de 30 días y un filtro de Savitzky-Golay [9], que ajusta por mínimos cuadrados un pol</w:t>
      </w:r>
      <w:r>
        <w:rPr>
          <w:rFonts w:ascii="Arial" w:hAnsi="Arial" w:cs="Arial"/>
        </w:rPr>
        <w:t>inomio de orden 3 en cada ventana de 2M + 1 = 721 h. Ese ajuste equivale a un filtro FIR de coeficientes fijos c</w:t>
      </w:r>
      <w:r>
        <w:rPr>
          <w:rFonts w:ascii="Arial" w:hAnsi="Arial" w:cs="Arial"/>
          <w:vertAlign w:val="subscript"/>
        </w:rPr>
        <w:t>m</w:t>
      </w:r>
      <w:r>
        <w:rPr>
          <w:rFonts w:ascii="Arial" w:hAnsi="Arial" w:cs="Arial"/>
        </w:rPr>
        <w:t>: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7520"/>
        <w:gridCol w:w="940"/>
      </w:tblGrid>
      <w:tr w:rsidR="00C92ED1" w14:paraId="5AA0BCA5" w14:textId="77777777">
        <w:trPr>
          <w:cantSplit/>
          <w:jc w:val="center"/>
        </w:trPr>
        <w:tc>
          <w:tcPr>
            <w:tcW w:w="940" w:type="dxa"/>
            <w:vAlign w:val="center"/>
          </w:tcPr>
          <w:p w14:paraId="4BE22111" w14:textId="77777777" w:rsidR="00C92ED1" w:rsidRDefault="00C92ED1">
            <w:pPr>
              <w:spacing w:after="0"/>
            </w:pPr>
          </w:p>
        </w:tc>
        <w:tc>
          <w:tcPr>
            <w:tcW w:w="7520" w:type="dxa"/>
            <w:vAlign w:val="center"/>
          </w:tcPr>
          <w:p w14:paraId="3D1B6F9A" w14:textId="77777777" w:rsidR="00C92ED1" w:rsidRDefault="004B15AE">
            <w:pPr>
              <w:spacing w:after="0"/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]=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]</m:t>
                    </m:r>
                  </m:e>
                </m:nary>
                <m:r>
                  <w:rPr>
                    <w:rFonts w:ascii="Cambria Math" w:hAnsi="Cambria Math"/>
                  </w:rPr>
                  <m:t>,  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=360</m:t>
                </m:r>
              </m:oMath>
            </m:oMathPara>
          </w:p>
        </w:tc>
        <w:tc>
          <w:tcPr>
            <w:tcW w:w="940" w:type="dxa"/>
            <w:vAlign w:val="center"/>
          </w:tcPr>
          <w:p w14:paraId="60954C66" w14:textId="77777777" w:rsidR="00C92ED1" w:rsidRDefault="004B15AE">
            <w:pPr>
              <w:spacing w:after="0"/>
              <w:jc w:val="right"/>
            </w:pPr>
            <w:r>
              <w:rPr>
                <w:rFonts w:ascii="Arial" w:hAnsi="Arial" w:cs="Arial"/>
              </w:rPr>
              <w:t>(2)</w:t>
            </w:r>
          </w:p>
        </w:tc>
      </w:tr>
    </w:tbl>
    <w:p w14:paraId="6371ECBE" w14:textId="77777777" w:rsidR="00C92ED1" w:rsidRDefault="00C92ED1">
      <w:pPr>
        <w:spacing w:after="0" w:line="240" w:lineRule="auto"/>
        <w:jc w:val="both"/>
      </w:pPr>
    </w:p>
    <w:p w14:paraId="249416F5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lastRenderedPageBreak/>
        <w:t xml:space="preserve">Las métricas fueron el tiempo que tarda cada filtro en alcanzar el 90 % de la subida real durante El Niño 2023-2024 y la desviación estándar del residuo. Savitzky-Golay alcanzó el 90 % de la subida </w:t>
      </w:r>
      <w:r>
        <w:rPr>
          <w:rFonts w:ascii="Arial" w:hAnsi="Arial" w:cs="Arial"/>
          <w:b/>
        </w:rPr>
        <w:t>376 h antes</w:t>
      </w:r>
      <w:r>
        <w:rPr>
          <w:rFonts w:ascii="Arial" w:hAnsi="Arial" w:cs="Arial"/>
        </w:rPr>
        <w:t xml:space="preserve"> que el promedio móvil (348 h frente a 724 h) y</w:t>
      </w:r>
      <w:r>
        <w:rPr>
          <w:rFonts w:ascii="Arial" w:hAnsi="Arial" w:cs="Arial"/>
        </w:rPr>
        <w:t xml:space="preserve"> dejó menos ruido residual (117,70 frente a 138,03 COP/kWh), porque conserva los puntos de giro que el promedio móvil aplana (Figura 4). Como su ventana es centrada, se usa para caracterizar la serie y no como variable predictora, lo que evitaría usar dato</w:t>
      </w:r>
      <w:r>
        <w:rPr>
          <w:rFonts w:ascii="Arial" w:hAnsi="Arial" w:cs="Arial"/>
        </w:rPr>
        <w:t>s futuros.</w:t>
      </w:r>
    </w:p>
    <w:p w14:paraId="604177FD" w14:textId="77777777" w:rsidR="00C92ED1" w:rsidRDefault="004B15A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F622884" wp14:editId="33B913EA">
            <wp:extent cx="4680000" cy="18998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filtr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9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0D96" w14:textId="77777777" w:rsidR="00C92ED1" w:rsidRDefault="004B15AE">
      <w:pPr>
        <w:spacing w:after="20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Figura 4. Filtros de tendencia sobre el precio horario en el tramo de El Niño 2023-2024.</w:t>
      </w:r>
    </w:p>
    <w:p w14:paraId="390703D1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Barraza.</w:t>
      </w:r>
    </w:p>
    <w:p w14:paraId="5D2A37F9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scipy.signal (savgol_filter), pandas y matplotlib; notebook 03.</w:t>
      </w:r>
    </w:p>
    <w:p w14:paraId="37B23D80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7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Peso en </w:t>
      </w:r>
      <w:r>
        <w:rPr>
          <w:rFonts w:ascii="Arial" w:hAnsi="Arial" w:cs="Arial"/>
          <w:b/>
        </w:rPr>
        <w:t>el objetivo:</w:t>
      </w:r>
      <w:r>
        <w:rPr>
          <w:rFonts w:ascii="Arial" w:hAnsi="Arial" w:cs="Arial"/>
        </w:rPr>
        <w:t xml:space="preserve"> 15 %.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4BEE1C82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Análisis de correlación entre precio, hidrología y demanda</w:t>
      </w:r>
    </w:p>
    <w:p w14:paraId="08C88C3C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Se calculó el coeficiente de Pearson (Ecuación 3) entre el precio y cada variable, con distintos rezagos y ventanas de promedio: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7520"/>
        <w:gridCol w:w="940"/>
      </w:tblGrid>
      <w:tr w:rsidR="00C92ED1" w14:paraId="1630DE8F" w14:textId="77777777">
        <w:trPr>
          <w:cantSplit/>
          <w:jc w:val="center"/>
        </w:trPr>
        <w:tc>
          <w:tcPr>
            <w:tcW w:w="940" w:type="dxa"/>
            <w:vAlign w:val="center"/>
          </w:tcPr>
          <w:p w14:paraId="10B88795" w14:textId="77777777" w:rsidR="00C92ED1" w:rsidRDefault="00C92ED1">
            <w:pPr>
              <w:spacing w:after="0"/>
            </w:pPr>
          </w:p>
        </w:tc>
        <w:tc>
          <w:tcPr>
            <w:tcW w:w="7520" w:type="dxa"/>
            <w:vAlign w:val="center"/>
          </w:tcPr>
          <w:p w14:paraId="123611EF" w14:textId="77777777" w:rsidR="00C92ED1" w:rsidRDefault="004B15AE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bar>
                        <m:r>
                          <w:rPr>
                            <w:rFonts w:ascii="Cambria Math" w:hAnsi="Cambria Math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ba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nary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subSup"/>
                            <m:grow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a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  <m:nary>
                          <m:naryPr>
                            <m:chr m:val="∑"/>
                            <m:limLoc m:val="subSup"/>
                            <m:grow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ba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rad>
                  </m:den>
                </m:f>
              </m:oMath>
            </m:oMathPara>
          </w:p>
        </w:tc>
        <w:tc>
          <w:tcPr>
            <w:tcW w:w="940" w:type="dxa"/>
            <w:vAlign w:val="center"/>
          </w:tcPr>
          <w:p w14:paraId="3F5AB725" w14:textId="77777777" w:rsidR="00C92ED1" w:rsidRDefault="004B15AE">
            <w:pPr>
              <w:spacing w:after="0"/>
              <w:jc w:val="right"/>
            </w:pPr>
            <w:r>
              <w:rPr>
                <w:rFonts w:ascii="Arial" w:hAnsi="Arial" w:cs="Arial"/>
              </w:rPr>
              <w:t>(3)</w:t>
            </w:r>
          </w:p>
        </w:tc>
      </w:tr>
    </w:tbl>
    <w:p w14:paraId="6BD6DECD" w14:textId="77777777" w:rsidR="00C92ED1" w:rsidRDefault="00C92ED1">
      <w:pPr>
        <w:spacing w:after="0" w:line="240" w:lineRule="auto"/>
        <w:jc w:val="both"/>
      </w:pPr>
    </w:p>
    <w:p w14:paraId="2D2E49EC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La correlación con el precio fue positiva para el ONI (0,387), la demanda (0,325) y la generación (0,323), y negativa para los aportes (−0,286) y los embalses (−0,164); los aportes pesan más promediados a 7 días (−0,309). El análisis también mostró que el </w:t>
      </w:r>
      <w:r>
        <w:rPr>
          <w:rFonts w:ascii="Arial" w:hAnsi="Arial" w:cs="Arial"/>
        </w:rPr>
        <w:t>índice climático no basta: el mayor pico diario del periodo (2.499 COP/kWh, 30 de septiembre de 2024) ocurrió con ONI neutro, cuando el volumen útil de los embalses era el más bajo de todos los septiembres de 2019 a 2025. Por eso la hidrología acumulada en</w:t>
      </w:r>
      <w:r>
        <w:rPr>
          <w:rFonts w:ascii="Arial" w:hAnsi="Arial" w:cs="Arial"/>
        </w:rPr>
        <w:t xml:space="preserve">tró al modelo con 12 variables. Dos variables se </w:t>
      </w:r>
      <w:r>
        <w:rPr>
          <w:rFonts w:ascii="Arial" w:hAnsi="Arial" w:cs="Arial"/>
          <w:b/>
        </w:rPr>
        <w:t>excluyeron</w:t>
      </w:r>
      <w:r>
        <w:rPr>
          <w:rFonts w:ascii="Arial" w:hAnsi="Arial" w:cs="Arial"/>
        </w:rPr>
        <w:t xml:space="preserve"> por fuga de información: la demanda y la generación contemporáneas, que se fijan en el mismo despacho que el precio, y el precio de oferta marginal, cuya correlación con el precio es 0,9998.</w:t>
      </w:r>
    </w:p>
    <w:p w14:paraId="63D6A87E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</w:t>
      </w:r>
      <w:r>
        <w:rPr>
          <w:rFonts w:ascii="Arial" w:hAnsi="Arial" w:cs="Arial"/>
          <w:b/>
        </w:rPr>
        <w:t>nsables:</w:t>
      </w:r>
      <w:r>
        <w:rPr>
          <w:rFonts w:ascii="Arial" w:hAnsi="Arial" w:cs="Arial"/>
        </w:rPr>
        <w:t xml:space="preserve"> Juan David Barceló Barraza.</w:t>
      </w:r>
    </w:p>
    <w:p w14:paraId="3D0AC7BC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pandas, scipy.stats y seaborn; notebook 03.</w:t>
      </w:r>
    </w:p>
    <w:p w14:paraId="619D4898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7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10 %.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69F6CC21" w14:textId="77777777" w:rsidR="00210987" w:rsidRPr="00C0027C" w:rsidRDefault="00C0027C" w:rsidP="00C0027C">
      <w:pPr>
        <w:pStyle w:val="Heading2"/>
        <w:ind w:firstLine="284"/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</w:pPr>
      <w:bookmarkStart w:id="5" w:name="_Toc241498805"/>
      <w:r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  <w:lastRenderedPageBreak/>
        <w:t>2.2 Actividades realizadas que contribuyen al logro del objetivo específico 2:</w:t>
      </w:r>
      <w:bookmarkEnd w:id="5"/>
    </w:p>
    <w:p w14:paraId="3C01F0D2" w14:textId="77777777" w:rsidR="00C92ED1" w:rsidRDefault="004B15AE">
      <w:pPr>
        <w:spacing w:before="60" w:line="240" w:lineRule="auto"/>
        <w:jc w:val="both"/>
      </w:pPr>
      <w:r>
        <w:rPr>
          <w:rFonts w:ascii="Arial" w:hAnsi="Arial" w:cs="Arial"/>
          <w:i/>
        </w:rPr>
        <w:t>OE2. Implementar y evaluar diferentes modelos de pronóstico del precio de bolsa, comparando precisión frente a persistencia, robustez, costo computacional e interpretabilidad.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Avance: 90 %.</w:t>
      </w:r>
    </w:p>
    <w:p w14:paraId="3180722B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Extracción de características compartidas</w:t>
      </w:r>
    </w:p>
    <w:p w14:paraId="27A8B935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Se construyó un único conjunto de 40 variables, compartido por todos los modelos para que las comparaciones sean justas. La regla de diseño es que </w:t>
      </w:r>
      <w:r>
        <w:rPr>
          <w:rFonts w:ascii="Arial" w:hAnsi="Arial" w:cs="Arial"/>
          <w:b/>
        </w:rPr>
        <w:t>toda variable se desplaza al menos 24 h</w:t>
      </w:r>
      <w:r>
        <w:rPr>
          <w:rFonts w:ascii="Arial" w:hAnsi="Arial" w:cs="Arial"/>
        </w:rPr>
        <w:t xml:space="preserve"> antes de calcularse, de mod</w:t>
      </w:r>
      <w:r>
        <w:rPr>
          <w:rFonts w:ascii="Arial" w:hAnsi="Arial" w:cs="Arial"/>
        </w:rPr>
        <w:t>o que en el instante de corte solo se usa información ya publicada; una variable con rezago de 1 h que inflaba la precisión de forma irreal se eliminó por esta razón. Cada familia se justifica con un resultado de OE1 (Tabla 3). Los festivos se incorporaron</w:t>
      </w:r>
      <w:r>
        <w:rPr>
          <w:rFonts w:ascii="Arial" w:hAnsi="Arial" w:cs="Arial"/>
        </w:rPr>
        <w:t xml:space="preserve"> después de probarlos: reducen el error de N-BEATSx en esos días de 74,1 a 62,6 COP/kWh (p = 0,0064).</w:t>
      </w:r>
    </w:p>
    <w:p w14:paraId="0ED5FB13" w14:textId="77777777" w:rsidR="00C92ED1" w:rsidRDefault="004B15AE">
      <w:pPr>
        <w:keepNext/>
        <w:spacing w:before="120" w:after="6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Tabla 3. Las 40 variables predictoras por familia (y = precio de bolsa; t = hora objetivo).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2"/>
        <w:gridCol w:w="4400"/>
        <w:gridCol w:w="3092"/>
      </w:tblGrid>
      <w:tr w:rsidR="00C92ED1" w14:paraId="69FBAC91" w14:textId="77777777">
        <w:trPr>
          <w:tblHeader/>
          <w:jc w:val="center"/>
        </w:trPr>
        <w:tc>
          <w:tcPr>
            <w:tcW w:w="1903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0DD30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Familia (n.º)</w:t>
            </w:r>
          </w:p>
        </w:tc>
        <w:tc>
          <w:tcPr>
            <w:tcW w:w="4402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66A10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Definición</w:t>
            </w:r>
          </w:p>
        </w:tc>
        <w:tc>
          <w:tcPr>
            <w:tcW w:w="3093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3CFE7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Justificación (OE1)</w:t>
            </w:r>
          </w:p>
        </w:tc>
      </w:tr>
      <w:tr w:rsidR="00C92ED1" w14:paraId="62C2AEE1" w14:textId="77777777">
        <w:trPr>
          <w:cantSplit/>
          <w:jc w:val="center"/>
        </w:trPr>
        <w:tc>
          <w:tcPr>
            <w:tcW w:w="1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18287D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Precio rezagado (2)</w:t>
            </w:r>
          </w:p>
        </w:tc>
        <w:tc>
          <w:tcPr>
            <w:tcW w:w="44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D6403D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y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>t−24</w:t>
            </w:r>
            <w:r>
              <w:rPr>
                <w:rFonts w:ascii="Arial" w:hAnsi="Arial" w:cs="Arial"/>
                <w:sz w:val="17"/>
                <w:szCs w:val="17"/>
              </w:rPr>
              <w:t>, y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>t−168</w:t>
            </w:r>
          </w:p>
        </w:tc>
        <w:tc>
          <w:tcPr>
            <w:tcW w:w="309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6B55AD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Picos de 24 h y 168 h del periodograma</w:t>
            </w:r>
          </w:p>
        </w:tc>
      </w:tr>
      <w:tr w:rsidR="00C92ED1" w14:paraId="5D07C8CF" w14:textId="77777777">
        <w:trPr>
          <w:cantSplit/>
          <w:jc w:val="center"/>
        </w:trPr>
        <w:tc>
          <w:tcPr>
            <w:tcW w:w="1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BBD031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Medias móviles (3)</w:t>
            </w:r>
          </w:p>
        </w:tc>
        <w:tc>
          <w:tcPr>
            <w:tcW w:w="44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2EDB90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Media de y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>t−24</w:t>
            </w:r>
            <w:r>
              <w:rPr>
                <w:rFonts w:ascii="Arial" w:hAnsi="Arial" w:cs="Arial"/>
                <w:sz w:val="17"/>
                <w:szCs w:val="17"/>
              </w:rPr>
              <w:t xml:space="preserve"> en 24 h, 7 días y 30 días</w:t>
            </w:r>
          </w:p>
        </w:tc>
        <w:tc>
          <w:tcPr>
            <w:tcW w:w="309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AA1582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Nivel y tendencia recientes</w:t>
            </w:r>
          </w:p>
        </w:tc>
      </w:tr>
      <w:tr w:rsidR="00C92ED1" w14:paraId="06F8E6B5" w14:textId="77777777">
        <w:trPr>
          <w:cantSplit/>
          <w:jc w:val="center"/>
        </w:trPr>
        <w:tc>
          <w:tcPr>
            <w:tcW w:w="1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AF89F7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Volatilidad (4)</w:t>
            </w:r>
          </w:p>
        </w:tc>
        <w:tc>
          <w:tcPr>
            <w:tcW w:w="44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4C7742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Desviación estándar en 24 h y 7 días, rango de 24 h y razón entre desviaciones</w:t>
            </w:r>
          </w:p>
        </w:tc>
        <w:tc>
          <w:tcPr>
            <w:tcW w:w="309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881776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Heterocedasticidad del precio</w:t>
            </w:r>
          </w:p>
        </w:tc>
      </w:tr>
      <w:tr w:rsidR="00C92ED1" w14:paraId="4765AF3A" w14:textId="77777777">
        <w:trPr>
          <w:cantSplit/>
          <w:jc w:val="center"/>
        </w:trPr>
        <w:tc>
          <w:tcPr>
            <w:tcW w:w="1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B76341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Calendario (6)</w:t>
            </w:r>
          </w:p>
        </w:tc>
        <w:tc>
          <w:tcPr>
            <w:tcW w:w="44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67829D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sen/cos(2πh/24), sen/cos(2πd/7), sen/cos(2πd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>a</w:t>
            </w:r>
            <w:r>
              <w:rPr>
                <w:rFonts w:ascii="Arial" w:hAnsi="Arial" w:cs="Arial"/>
                <w:sz w:val="17"/>
                <w:szCs w:val="17"/>
              </w:rPr>
              <w:t>/365,25)</w:t>
            </w:r>
          </w:p>
        </w:tc>
        <w:tc>
          <w:tcPr>
            <w:tcW w:w="309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0A9E40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Armónicos de 24 h, 168 h y anual; continuidad 23 h → 0 h</w:t>
            </w:r>
          </w:p>
        </w:tc>
      </w:tr>
      <w:tr w:rsidR="00C92ED1" w14:paraId="3423992C" w14:textId="77777777">
        <w:trPr>
          <w:cantSplit/>
          <w:jc w:val="center"/>
        </w:trPr>
        <w:tc>
          <w:tcPr>
            <w:tcW w:w="1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0023D5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Hidrología (12)</w:t>
            </w:r>
          </w:p>
        </w:tc>
        <w:tc>
          <w:tcPr>
            <w:tcW w:w="44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6B5B19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Embalses y aportes rezagados 24 h, cambios a 1 y 7 días, medias de 7 y 30 días y razón frente a la media de 30 días</w:t>
            </w:r>
          </w:p>
        </w:tc>
        <w:tc>
          <w:tcPr>
            <w:tcW w:w="309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92BB2D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Correlación negativa con el precio</w:t>
            </w:r>
          </w:p>
        </w:tc>
      </w:tr>
      <w:tr w:rsidR="00C92ED1" w14:paraId="3183E572" w14:textId="77777777">
        <w:trPr>
          <w:cantSplit/>
          <w:jc w:val="center"/>
        </w:trPr>
        <w:tc>
          <w:tcPr>
            <w:tcW w:w="1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B7EF12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Demanda (4)</w:t>
            </w:r>
          </w:p>
        </w:tc>
        <w:tc>
          <w:tcPr>
            <w:tcW w:w="44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5B6752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Demanda rezagada 24, 48 y 72 h y su media de 24 h</w:t>
            </w:r>
          </w:p>
        </w:tc>
        <w:tc>
          <w:tcPr>
            <w:tcW w:w="309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979033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Correlación +0,325</w:t>
            </w:r>
          </w:p>
        </w:tc>
      </w:tr>
      <w:tr w:rsidR="00C92ED1" w14:paraId="593AB917" w14:textId="77777777">
        <w:trPr>
          <w:cantSplit/>
          <w:jc w:val="center"/>
        </w:trPr>
        <w:tc>
          <w:tcPr>
            <w:tcW w:w="1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0615FD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Clima y eventos (2)</w:t>
            </w:r>
          </w:p>
        </w:tc>
        <w:tc>
          <w:tcPr>
            <w:tcW w:w="44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866102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ONI con rampa causal; indicador de pandemia</w:t>
            </w:r>
          </w:p>
        </w:tc>
        <w:tc>
          <w:tcPr>
            <w:tcW w:w="309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4431E3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Correlación del ONI +0,387</w:t>
            </w:r>
          </w:p>
        </w:tc>
      </w:tr>
      <w:tr w:rsidR="00C92ED1" w14:paraId="311D464C" w14:textId="77777777">
        <w:trPr>
          <w:cantSplit/>
          <w:jc w:val="center"/>
        </w:trPr>
        <w:tc>
          <w:tcPr>
            <w:tcW w:w="1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DB94AD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Festivos (7)</w:t>
            </w:r>
          </w:p>
        </w:tc>
        <w:tc>
          <w:tcPr>
            <w:tcW w:w="44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E38B36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Festivo; festivo hace 1, 2, 3 y 7 días; desajuste de tipo de día frente a t−24 h </w:t>
            </w:r>
            <w:r>
              <w:rPr>
                <w:rFonts w:ascii="Arial" w:hAnsi="Arial" w:cs="Arial"/>
                <w:sz w:val="17"/>
                <w:szCs w:val="17"/>
              </w:rPr>
              <w:t>y t−168 h</w:t>
            </w:r>
          </w:p>
        </w:tc>
        <w:tc>
          <w:tcPr>
            <w:tcW w:w="309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6072B5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Error en festivos 74,1 → 62,6 (p = 0,0064)</w:t>
            </w:r>
          </w:p>
        </w:tc>
      </w:tr>
    </w:tbl>
    <w:p w14:paraId="4B1EA275" w14:textId="77777777" w:rsidR="00C92ED1" w:rsidRDefault="00C92ED1">
      <w:pPr>
        <w:spacing w:after="60" w:line="240" w:lineRule="auto"/>
        <w:jc w:val="both"/>
      </w:pPr>
    </w:p>
    <w:p w14:paraId="714B3BF7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Barraza.</w:t>
      </w:r>
    </w:p>
    <w:p w14:paraId="6E486E49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pandas, numpy y holidays; notebook 05 (características compartidas).</w:t>
      </w:r>
    </w:p>
    <w:p w14:paraId="6BBBD496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7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15 %.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1FD77841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Modelos base y estadísticos de la literatura</w:t>
      </w:r>
    </w:p>
    <w:p w14:paraId="282D0F89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La referencia de todo el proyecto es la </w:t>
      </w:r>
      <w:r>
        <w:rPr>
          <w:rFonts w:ascii="Arial" w:hAnsi="Arial" w:cs="Arial"/>
          <w:b/>
        </w:rPr>
        <w:t>persistencia</w:t>
      </w:r>
      <w:r>
        <w:rPr>
          <w:rFonts w:ascii="Arial" w:hAnsi="Arial" w:cs="Arial"/>
        </w:rPr>
        <w:t>, ŷ</w:t>
      </w:r>
      <w:r>
        <w:rPr>
          <w:rFonts w:ascii="Arial" w:hAnsi="Arial" w:cs="Arial"/>
          <w:vertAlign w:val="subscript"/>
        </w:rPr>
        <w:t>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 y</w:t>
      </w:r>
      <w:r>
        <w:rPr>
          <w:rFonts w:ascii="Arial" w:hAnsi="Arial" w:cs="Arial"/>
          <w:vertAlign w:val="subscript"/>
        </w:rPr>
        <w:t>t−24</w:t>
      </w:r>
      <w:r>
        <w:rPr>
          <w:rFonts w:ascii="Arial" w:hAnsi="Arial" w:cs="Arial"/>
        </w:rPr>
        <w:t xml:space="preserve"> [3]. Sobre ella se implementaron modelos estadísticos respaldados por la literatura. El </w:t>
      </w:r>
      <w:r>
        <w:rPr>
          <w:rFonts w:ascii="Arial" w:hAnsi="Arial" w:cs="Arial"/>
          <w:b/>
        </w:rPr>
        <w:t>ARX+GARCH</w:t>
      </w:r>
      <w:r>
        <w:rPr>
          <w:rFonts w:ascii="Arial" w:hAnsi="Arial" w:cs="Arial"/>
        </w:rPr>
        <w:t>, adaptación del ARIMA-IGARCH propuesto para Colombia [10], modela la media del logaritmo del precio con 15 regresoras (hidrología, ONI, pandemia, cale</w:t>
      </w:r>
      <w:r>
        <w:rPr>
          <w:rFonts w:ascii="Arial" w:hAnsi="Arial" w:cs="Arial"/>
        </w:rPr>
        <w:t>ndario y festivos) y la varianza condicional con un GARCH(1,1) [11] (Ecuación 4):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7520"/>
        <w:gridCol w:w="940"/>
      </w:tblGrid>
      <w:tr w:rsidR="00C92ED1" w14:paraId="78B6BD53" w14:textId="77777777">
        <w:trPr>
          <w:cantSplit/>
          <w:jc w:val="center"/>
        </w:trPr>
        <w:tc>
          <w:tcPr>
            <w:tcW w:w="940" w:type="dxa"/>
            <w:vAlign w:val="center"/>
          </w:tcPr>
          <w:p w14:paraId="63B9BDE7" w14:textId="77777777" w:rsidR="00C92ED1" w:rsidRDefault="00C92ED1">
            <w:pPr>
              <w:spacing w:after="0"/>
            </w:pPr>
          </w:p>
        </w:tc>
        <w:tc>
          <w:tcPr>
            <w:tcW w:w="7520" w:type="dxa"/>
            <w:vAlign w:val="center"/>
          </w:tcPr>
          <w:p w14:paraId="67B73D87" w14:textId="77777777" w:rsidR="00C92ED1" w:rsidRDefault="004B15AE">
            <w:pPr>
              <w:spacing w:after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m:rPr>
                        <m:scr m:val="sans-serif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ϕ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24</m:t>
                    </m:r>
                  </m:sub>
                </m:sSub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  <w:p w14:paraId="7BC0527C" w14:textId="77777777" w:rsidR="00C92ED1" w:rsidRDefault="004B15AE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,  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α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β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940" w:type="dxa"/>
            <w:vAlign w:val="center"/>
          </w:tcPr>
          <w:p w14:paraId="1C295536" w14:textId="77777777" w:rsidR="00C92ED1" w:rsidRDefault="004B15AE">
            <w:pPr>
              <w:spacing w:after="0"/>
              <w:jc w:val="right"/>
            </w:pPr>
            <w:r>
              <w:rPr>
                <w:rFonts w:ascii="Arial" w:hAnsi="Arial" w:cs="Arial"/>
              </w:rPr>
              <w:t>(4)</w:t>
            </w:r>
          </w:p>
        </w:tc>
      </w:tr>
    </w:tbl>
    <w:p w14:paraId="158A08A6" w14:textId="77777777" w:rsidR="00C92ED1" w:rsidRDefault="00C92ED1">
      <w:pPr>
        <w:spacing w:after="0" w:line="240" w:lineRule="auto"/>
        <w:jc w:val="both"/>
      </w:pPr>
    </w:p>
    <w:p w14:paraId="6B7A8691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Se validaron 27 configuraciones contra 2025; se mantuvo el GARCH(1,1) porque el ganador de la validación, un GJR(2,1), tenía persistencia α + β = 1,02, es decir, varianza explosiva. El </w:t>
      </w:r>
      <w:r>
        <w:rPr>
          <w:rFonts w:ascii="Arial" w:hAnsi="Arial" w:cs="Arial"/>
          <w:b/>
        </w:rPr>
        <w:t>GARCH-ged</w:t>
      </w:r>
      <w:r>
        <w:rPr>
          <w:rFonts w:ascii="Arial" w:hAnsi="Arial" w:cs="Arial"/>
        </w:rPr>
        <w:t>, variante del mejor modelo de Nueva Zelanda, otro mercado hid</w:t>
      </w:r>
      <w:r>
        <w:rPr>
          <w:rFonts w:ascii="Arial" w:hAnsi="Arial" w:cs="Arial"/>
        </w:rPr>
        <w:t xml:space="preserve">rodominado [12], combina una regresión LASSO [13] por hora con varianza GARCH de errores con distribución generalizada [14]. También se probaron el </w:t>
      </w:r>
      <w:r>
        <w:rPr>
          <w:rFonts w:ascii="Arial" w:hAnsi="Arial" w:cs="Arial"/>
          <w:b/>
        </w:rPr>
        <w:t>LEAR</w:t>
      </w:r>
      <w:r>
        <w:rPr>
          <w:rFonts w:ascii="Arial" w:hAnsi="Arial" w:cs="Arial"/>
        </w:rPr>
        <w:t xml:space="preserve"> del benchmark de Lago et al. [3], con 24 </w:t>
      </w:r>
      <w:r>
        <w:rPr>
          <w:rFonts w:ascii="Arial" w:hAnsi="Arial" w:cs="Arial"/>
        </w:rPr>
        <w:lastRenderedPageBreak/>
        <w:t xml:space="preserve">regresiones LASSO (una por hora), y </w:t>
      </w:r>
      <w:r>
        <w:rPr>
          <w:rFonts w:ascii="Arial" w:hAnsi="Arial" w:cs="Arial"/>
          <w:b/>
        </w:rPr>
        <w:t>Prophet</w:t>
      </w:r>
      <w:r>
        <w:rPr>
          <w:rFonts w:ascii="Arial" w:hAnsi="Arial" w:cs="Arial"/>
        </w:rPr>
        <w:t xml:space="preserve"> [15], que fue el m</w:t>
      </w:r>
      <w:r>
        <w:rPr>
          <w:rFonts w:ascii="Arial" w:hAnsi="Arial" w:cs="Arial"/>
        </w:rPr>
        <w:t>ás débil de todas las pruebas (rMAE ≈ 1,70).</w:t>
      </w:r>
    </w:p>
    <w:p w14:paraId="568966B4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Barraza.</w:t>
      </w:r>
    </w:p>
    <w:p w14:paraId="7035F54F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statsmodels, arch (GARCH), scikit-learn (LASSO), Prophet con CmdStan; notebooks 04 y 08.</w:t>
      </w:r>
    </w:p>
    <w:p w14:paraId="6110C372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14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15 %.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</w:t>
      </w:r>
      <w:r>
        <w:rPr>
          <w:rFonts w:ascii="Arial" w:hAnsi="Arial" w:cs="Arial"/>
          <w:b/>
        </w:rPr>
        <w:t xml:space="preserve"> actividad:</w:t>
      </w:r>
      <w:r>
        <w:rPr>
          <w:rFonts w:ascii="Arial" w:hAnsi="Arial" w:cs="Arial"/>
        </w:rPr>
        <w:t xml:space="preserve"> 100 %.</w:t>
      </w:r>
    </w:p>
    <w:p w14:paraId="5B26CE0B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Modelos de aprendizaje automático y profundo</w:t>
      </w:r>
    </w:p>
    <w:p w14:paraId="7ABB6FD5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Se entrenaron modelos de familias distintas, para que sus errores no estén correlacionados. </w:t>
      </w:r>
      <w:r>
        <w:rPr>
          <w:rFonts w:ascii="Arial" w:hAnsi="Arial" w:cs="Arial"/>
          <w:b/>
        </w:rPr>
        <w:t>XGBoost</w:t>
      </w:r>
      <w:r>
        <w:rPr>
          <w:rFonts w:ascii="Arial" w:hAnsi="Arial" w:cs="Arial"/>
        </w:rPr>
        <w:t xml:space="preserve"> [16] (500 árboles, profundidad 3, tasa 0,01, submuestreo 0,8, objetivo log y) y </w:t>
      </w:r>
      <w:r>
        <w:rPr>
          <w:rFonts w:ascii="Arial" w:hAnsi="Arial" w:cs="Arial"/>
          <w:b/>
        </w:rPr>
        <w:t>LightGBM</w:t>
      </w:r>
      <w:r>
        <w:rPr>
          <w:rFonts w:ascii="Arial" w:hAnsi="Arial" w:cs="Arial"/>
        </w:rPr>
        <w:t xml:space="preserve"> exploran relaciones no lineales entre las 40 variables. </w:t>
      </w:r>
      <w:r>
        <w:rPr>
          <w:rFonts w:ascii="Arial" w:hAnsi="Arial" w:cs="Arial"/>
          <w:b/>
        </w:rPr>
        <w:t>N-BEATSx</w:t>
      </w:r>
      <w:r>
        <w:rPr>
          <w:rFonts w:ascii="Arial" w:hAnsi="Arial" w:cs="Arial"/>
        </w:rPr>
        <w:t xml:space="preserve"> [17] y </w:t>
      </w:r>
      <w:r>
        <w:rPr>
          <w:rFonts w:ascii="Arial" w:hAnsi="Arial" w:cs="Arial"/>
          <w:b/>
        </w:rPr>
        <w:t>N-HiTS</w:t>
      </w:r>
      <w:r>
        <w:rPr>
          <w:rFonts w:ascii="Arial" w:hAnsi="Arial" w:cs="Arial"/>
        </w:rPr>
        <w:t xml:space="preserve"> [18] son redes profundas de expansión de bases con variables exógenas, con contexto de </w:t>
      </w:r>
      <w:r>
        <w:rPr>
          <w:rFonts w:ascii="Arial" w:hAnsi="Arial" w:cs="Arial"/>
        </w:rPr>
        <w:t xml:space="preserve">168 h (elegido entre 1, 2 y 3 semanas contra 2025) y horizonte de 24 h. Otros modelos se evaluaron y </w:t>
      </w:r>
      <w:r>
        <w:rPr>
          <w:rFonts w:ascii="Arial" w:hAnsi="Arial" w:cs="Arial"/>
          <w:b/>
        </w:rPr>
        <w:t>descartaron</w:t>
      </w:r>
      <w:r>
        <w:rPr>
          <w:rFonts w:ascii="Arial" w:hAnsi="Arial" w:cs="Arial"/>
        </w:rPr>
        <w:t xml:space="preserve"> con rMAE frente a la persistencia mayor o igual que 1: CatBoost (1,016), hurdle de dos etapas (1,028), Markov-Switching de 2 regímenes (0,990),</w:t>
      </w:r>
      <w:r>
        <w:rPr>
          <w:rFonts w:ascii="Arial" w:hAnsi="Arial" w:cs="Arial"/>
        </w:rPr>
        <w:t xml:space="preserve"> mínimos cuadrados recursivos (1,052), TFT (1,020), LSTM (1,173) y LightGBM (≈ 1,10). En total se evaluaron 15 familias; la lección de diseño es que importa la diversidad de familias y no la cantidad de modelos: agregar ocho votantes más empeoró el ensambl</w:t>
      </w:r>
      <w:r>
        <w:rPr>
          <w:rFonts w:ascii="Arial" w:hAnsi="Arial" w:cs="Arial"/>
        </w:rPr>
        <w:t>e de MAE 46,02 a 46,45 (p = 0,013).</w:t>
      </w:r>
    </w:p>
    <w:p w14:paraId="03BE378B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 (primera versión de XGBoost y LightGBM, notebooks 05 y 11) y Juan David Barceló Barraza (XGBoost final, redes profundas y modelos descartados, notebooks 06 y 09).</w:t>
      </w:r>
    </w:p>
    <w:p w14:paraId="33657809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</w:t>
      </w:r>
      <w:r>
        <w:rPr>
          <w:rFonts w:ascii="Arial" w:hAnsi="Arial" w:cs="Arial"/>
        </w:rPr>
        <w:t>thon 3, xgboost, lightgbm, catboost, neuralforecast (PyTorch), Optuna; portátil AMD Ryzen 7 7730U, 15,4 GB de RAM, sin GPU.</w:t>
      </w:r>
    </w:p>
    <w:p w14:paraId="56BAAF02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14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20 %.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52D8D357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Validación walk-forward en seis regímenes climáticos</w:t>
      </w:r>
    </w:p>
    <w:p w14:paraId="633094DC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Un ú</w:t>
      </w:r>
      <w:r>
        <w:rPr>
          <w:rFonts w:ascii="Arial" w:hAnsi="Arial" w:cs="Arial"/>
        </w:rPr>
        <w:t xml:space="preserve">nico corte de prueba puede esconder que un modelo solo funciona en un tipo de año. Por eso se aplicó una validación de origen móvil [19] con </w:t>
      </w:r>
      <w:r>
        <w:rPr>
          <w:rFonts w:ascii="Arial" w:hAnsi="Arial" w:cs="Arial"/>
          <w:b/>
        </w:rPr>
        <w:t>seis orígenes</w:t>
      </w:r>
      <w:r>
        <w:rPr>
          <w:rFonts w:ascii="Arial" w:hAnsi="Arial" w:cs="Arial"/>
        </w:rPr>
        <w:t xml:space="preserve"> (el Anexo 1 planeaba cinco): O1 a O5 son años completos con regímenes ENSO distintos (La Niña, transi</w:t>
      </w:r>
      <w:r>
        <w:rPr>
          <w:rFonts w:ascii="Arial" w:hAnsi="Arial" w:cs="Arial"/>
        </w:rPr>
        <w:t>ción, El Niño fuerte y neutro) y O6 es 2026. En cada origen el modelo se reentrena solo con datos anteriores y se compara con la persistencia mediante Diebold-Mariano de dos colas (Tabla 4, Figura 5).</w:t>
      </w:r>
    </w:p>
    <w:p w14:paraId="59CB971C" w14:textId="77777777" w:rsidR="00C92ED1" w:rsidRDefault="004B15AE">
      <w:pPr>
        <w:keepNext/>
        <w:spacing w:before="120" w:after="6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Tabla 4. MAE (COP/kWh) por origen walk-forward y result</w:t>
      </w:r>
      <w:r>
        <w:rPr>
          <w:rFonts w:ascii="Arial" w:hAnsi="Arial" w:cs="Arial"/>
          <w:i/>
          <w:sz w:val="20"/>
          <w:szCs w:val="20"/>
        </w:rPr>
        <w:t>ado de Diebold-Mariano frente a la persistencia (gana / pierde, α = 0,05).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029"/>
        <w:gridCol w:w="1030"/>
        <w:gridCol w:w="1030"/>
        <w:gridCol w:w="1030"/>
        <w:gridCol w:w="1030"/>
        <w:gridCol w:w="1030"/>
        <w:gridCol w:w="1415"/>
      </w:tblGrid>
      <w:tr w:rsidR="00C92ED1" w14:paraId="24185318" w14:textId="77777777">
        <w:trPr>
          <w:tblHeader/>
          <w:jc w:val="center"/>
        </w:trPr>
        <w:tc>
          <w:tcPr>
            <w:tcW w:w="1802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70E92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Modelo</w:t>
            </w:r>
          </w:p>
        </w:tc>
        <w:tc>
          <w:tcPr>
            <w:tcW w:w="103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AE8C0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O1</w:t>
            </w:r>
          </w:p>
          <w:p w14:paraId="733E242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2020-21</w:t>
            </w:r>
          </w:p>
        </w:tc>
        <w:tc>
          <w:tcPr>
            <w:tcW w:w="103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FD0C7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O2</w:t>
            </w:r>
          </w:p>
          <w:p w14:paraId="53D4CCA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2021-22</w:t>
            </w:r>
          </w:p>
        </w:tc>
        <w:tc>
          <w:tcPr>
            <w:tcW w:w="103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BD350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O3</w:t>
            </w:r>
          </w:p>
          <w:p w14:paraId="66A85D7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2022-23</w:t>
            </w:r>
          </w:p>
        </w:tc>
        <w:tc>
          <w:tcPr>
            <w:tcW w:w="103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170EE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O4</w:t>
            </w:r>
          </w:p>
          <w:p w14:paraId="63A377E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2023-24</w:t>
            </w:r>
          </w:p>
        </w:tc>
        <w:tc>
          <w:tcPr>
            <w:tcW w:w="103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3AC2E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O5</w:t>
            </w:r>
          </w:p>
          <w:p w14:paraId="16544C2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2024-25</w:t>
            </w:r>
          </w:p>
        </w:tc>
        <w:tc>
          <w:tcPr>
            <w:tcW w:w="103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F9152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O6</w:t>
            </w:r>
          </w:p>
          <w:p w14:paraId="00AE705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2026</w:t>
            </w:r>
          </w:p>
        </w:tc>
        <w:tc>
          <w:tcPr>
            <w:tcW w:w="1416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1858E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Gana / pierde</w:t>
            </w:r>
          </w:p>
        </w:tc>
      </w:tr>
      <w:tr w:rsidR="00C92ED1" w14:paraId="133BC7DE" w14:textId="77777777">
        <w:trPr>
          <w:cantSplit/>
          <w:jc w:val="center"/>
        </w:trPr>
        <w:tc>
          <w:tcPr>
            <w:tcW w:w="18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387A3D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Persistencia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B64AA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16,80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5BCAD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17,52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81FEA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39,75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128D3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67,19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BFE37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101,25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8776A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56,40</w:t>
            </w:r>
          </w:p>
        </w:tc>
        <w:tc>
          <w:tcPr>
            <w:tcW w:w="141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DF8D4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referencia</w:t>
            </w:r>
          </w:p>
        </w:tc>
      </w:tr>
      <w:tr w:rsidR="00C92ED1" w14:paraId="2AFCD604" w14:textId="77777777">
        <w:trPr>
          <w:cantSplit/>
          <w:jc w:val="center"/>
        </w:trPr>
        <w:tc>
          <w:tcPr>
            <w:tcW w:w="18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6F58C7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XGBoost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ADAEE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18,25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1C6B7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24,14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53F5B3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59,60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05878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133,99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2C318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135,47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752E2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61,39</w:t>
            </w:r>
          </w:p>
        </w:tc>
        <w:tc>
          <w:tcPr>
            <w:tcW w:w="141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78A91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 / 6</w:t>
            </w:r>
          </w:p>
        </w:tc>
      </w:tr>
      <w:tr w:rsidR="00C92ED1" w14:paraId="58D15414" w14:textId="77777777">
        <w:trPr>
          <w:cantSplit/>
          <w:jc w:val="center"/>
        </w:trPr>
        <w:tc>
          <w:tcPr>
            <w:tcW w:w="18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AB236E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ARX+GARCH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7B13D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50,88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B519F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19,51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B2D48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49,74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91222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80,80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D88DE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102,64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C86A4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55,83</w:t>
            </w:r>
          </w:p>
        </w:tc>
        <w:tc>
          <w:tcPr>
            <w:tcW w:w="141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A0EDD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 / 4</w:t>
            </w:r>
          </w:p>
        </w:tc>
      </w:tr>
      <w:tr w:rsidR="00C92ED1" w14:paraId="0A2FDE19" w14:textId="77777777">
        <w:trPr>
          <w:cantSplit/>
          <w:jc w:val="center"/>
        </w:trPr>
        <w:tc>
          <w:tcPr>
            <w:tcW w:w="18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937095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N-BEATSx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5304D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25,79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EE21C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17,17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93599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40,22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E0BE7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66,36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F78F1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104,59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38E6C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45,15</w:t>
            </w:r>
          </w:p>
        </w:tc>
        <w:tc>
          <w:tcPr>
            <w:tcW w:w="141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FA4B8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 / 1</w:t>
            </w:r>
          </w:p>
        </w:tc>
      </w:tr>
      <w:tr w:rsidR="00C92ED1" w14:paraId="7E07DEAE" w14:textId="77777777">
        <w:trPr>
          <w:cantSplit/>
          <w:jc w:val="center"/>
        </w:trPr>
        <w:tc>
          <w:tcPr>
            <w:tcW w:w="180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682212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N-HiTS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F00732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55,38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0F044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17,86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1E3825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37,97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5CBC4F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68,47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B0E682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103,05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87F1D3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46,42</w:t>
            </w:r>
          </w:p>
        </w:tc>
        <w:tc>
          <w:tcPr>
            <w:tcW w:w="141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551B60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 / 1</w:t>
            </w:r>
          </w:p>
        </w:tc>
      </w:tr>
    </w:tbl>
    <w:p w14:paraId="0EF6AAE1" w14:textId="77777777" w:rsidR="00C92ED1" w:rsidRDefault="00C92ED1">
      <w:pPr>
        <w:spacing w:after="60" w:line="240" w:lineRule="auto"/>
        <w:jc w:val="both"/>
      </w:pPr>
    </w:p>
    <w:p w14:paraId="28064258" w14:textId="77777777" w:rsidR="00C92ED1" w:rsidRDefault="004B15A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E3DC82E" wp14:editId="03357431">
            <wp:extent cx="4860000" cy="1933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walkforw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042F" w14:textId="77777777" w:rsidR="00C92ED1" w:rsidRDefault="004B15AE">
      <w:pPr>
        <w:spacing w:after="20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Figura 5. MAE por origen temporal y régimen ENSO de los modelos individuales.</w:t>
      </w:r>
    </w:p>
    <w:p w14:paraId="1AA94D3A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La lectura es exigente: en los orígenes históricos ningún modelo individual supera de forma consistente a la persistencia, y XGBoost pierde en los seis. Esto motivó el ensamble (</w:t>
      </w:r>
      <w:r>
        <w:rPr>
          <w:rFonts w:ascii="Arial" w:hAnsi="Arial" w:cs="Arial"/>
        </w:rPr>
        <w:t xml:space="preserve">Actividad 2.5). Esta actividad tiene un </w:t>
      </w:r>
      <w:r>
        <w:rPr>
          <w:rFonts w:ascii="Arial" w:hAnsi="Arial" w:cs="Arial"/>
          <w:b/>
        </w:rPr>
        <w:t>avance de 50 %</w:t>
      </w:r>
      <w:r>
        <w:rPr>
          <w:rFonts w:ascii="Arial" w:hAnsi="Arial" w:cs="Arial"/>
        </w:rPr>
        <w:t>: la evaluación de los modelos individuales está completa, pero la del ensamble de seis votantes, que es el diseño adoptado, solo existe para 2026; extenderla a O1-O5 es la tarea pendiente de OE2 (Secci</w:t>
      </w:r>
      <w:r>
        <w:rPr>
          <w:rFonts w:ascii="Arial" w:hAnsi="Arial" w:cs="Arial"/>
        </w:rPr>
        <w:t>ón 5).</w:t>
      </w:r>
    </w:p>
    <w:p w14:paraId="6C046EDA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Barraza.</w:t>
      </w:r>
    </w:p>
    <w:p w14:paraId="011D97A9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pandas, xgboost, arch, neuralforecast; notebooks 07 y 10.</w:t>
      </w:r>
    </w:p>
    <w:p w14:paraId="674FE89D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24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20 %.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50 %.</w:t>
      </w:r>
    </w:p>
    <w:p w14:paraId="7F9BAE0B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Ensamble de seis familias, extensión a 72 h y bandas de incertidumbre</w:t>
      </w:r>
    </w:p>
    <w:p w14:paraId="1270CD97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Los seis votantes (persistencia, XGBoost, ARX+GARCH, N-BEATSx, N-HiTS y GARCH-ged) se combinan por regresión cuantílica (QRA) [20]. Para cada franja de 6 horas g se resuelve el programa </w:t>
      </w:r>
      <w:r>
        <w:rPr>
          <w:rFonts w:ascii="Arial" w:hAnsi="Arial" w:cs="Arial"/>
        </w:rPr>
        <w:t>lineal de la Ecuación 5, con pesos no negativos y un objetivo alineado con el sMAPE, que es la métrica reportada (los pesos ω</w:t>
      </w:r>
      <w:r>
        <w:rPr>
          <w:rFonts w:ascii="Arial" w:hAnsi="Arial" w:cs="Arial"/>
          <w:vertAlign w:val="subscript"/>
        </w:rPr>
        <w:t>t</w:t>
      </w:r>
      <w:r>
        <w:rPr>
          <w:rFonts w:ascii="Arial" w:hAnsi="Arial" w:cs="Arial"/>
        </w:rPr>
        <w:t xml:space="preserve"> se actualizan iterativamente):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7520"/>
        <w:gridCol w:w="940"/>
      </w:tblGrid>
      <w:tr w:rsidR="00C92ED1" w14:paraId="726C8C74" w14:textId="77777777">
        <w:trPr>
          <w:cantSplit/>
          <w:jc w:val="center"/>
        </w:trPr>
        <w:tc>
          <w:tcPr>
            <w:tcW w:w="940" w:type="dxa"/>
            <w:vAlign w:val="center"/>
          </w:tcPr>
          <w:p w14:paraId="0C8BDB6C" w14:textId="77777777" w:rsidR="00C92ED1" w:rsidRDefault="00C92ED1">
            <w:pPr>
              <w:spacing w:after="0"/>
            </w:pPr>
          </w:p>
        </w:tc>
        <w:tc>
          <w:tcPr>
            <w:tcW w:w="7520" w:type="dxa"/>
            <w:vAlign w:val="center"/>
          </w:tcPr>
          <w:p w14:paraId="6C6D6F3C" w14:textId="77777777" w:rsidR="00C92ED1" w:rsidRDefault="004B15AE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  <m:r>
                      <w:rPr>
                        <w:rFonts w:ascii="Cambria Math" w:hAnsi="Cambria Math"/>
                      </w:rPr>
                      <m:t>≥0,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</w:rPr>
                      <m:t>|</m:t>
                    </m:r>
                  </m:e>
                </m:nary>
                <m:r>
                  <w:rPr>
                    <w:rFonts w:ascii="Cambria Math" w:hAnsi="Cambria Math"/>
                  </w:rPr>
                  <m:t>,  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|+|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</m:den>
                </m:f>
              </m:oMath>
            </m:oMathPara>
          </w:p>
        </w:tc>
        <w:tc>
          <w:tcPr>
            <w:tcW w:w="940" w:type="dxa"/>
            <w:vAlign w:val="center"/>
          </w:tcPr>
          <w:p w14:paraId="3D51490F" w14:textId="77777777" w:rsidR="00C92ED1" w:rsidRDefault="004B15AE">
            <w:pPr>
              <w:spacing w:after="0"/>
              <w:jc w:val="right"/>
            </w:pPr>
            <w:r>
              <w:rPr>
                <w:rFonts w:ascii="Arial" w:hAnsi="Arial" w:cs="Arial"/>
              </w:rPr>
              <w:t>(5)</w:t>
            </w:r>
          </w:p>
        </w:tc>
      </w:tr>
    </w:tbl>
    <w:p w14:paraId="49552D55" w14:textId="77777777" w:rsidR="00C92ED1" w:rsidRDefault="00C92ED1">
      <w:pPr>
        <w:spacing w:after="0" w:line="240" w:lineRule="auto"/>
        <w:jc w:val="both"/>
      </w:pPr>
    </w:p>
    <w:p w14:paraId="63B904FF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Ambas decisiones se validaron: los pesos por franja reducen el MAE de 44,38 a 43,24 (p = 0,0006) y el objetivo sMAPE baja el MAPE de 10,66 % a 10,47 % en 10 de 10 particiones. El producto de 72 h reutiliza el ensamble en las primeras 23 horas y combina, en</w:t>
      </w:r>
      <w:r>
        <w:rPr>
          <w:rFonts w:ascii="Arial" w:hAnsi="Arial" w:cs="Arial"/>
        </w:rPr>
        <w:t xml:space="preserve"> el resto, un LEAR de 72 modelos LASSO, dos N-BEATSx y una persistencia semanal (Tabla 5). La incertidumbre se expresa con la banda [q</w:t>
      </w:r>
      <w:r>
        <w:rPr>
          <w:rFonts w:ascii="Arial" w:hAnsi="Arial" w:cs="Arial"/>
          <w:vertAlign w:val="subscript"/>
        </w:rPr>
        <w:t>10</w:t>
      </w:r>
      <w:r>
        <w:rPr>
          <w:rFonts w:ascii="Arial" w:hAnsi="Arial" w:cs="Arial"/>
        </w:rPr>
        <w:t>, q</w:t>
      </w:r>
      <w:r>
        <w:rPr>
          <w:rFonts w:ascii="Arial" w:hAnsi="Arial" w:cs="Arial"/>
          <w:vertAlign w:val="subscript"/>
        </w:rPr>
        <w:t>90</w:t>
      </w:r>
      <w:r>
        <w:rPr>
          <w:rFonts w:ascii="Arial" w:hAnsi="Arial" w:cs="Arial"/>
        </w:rPr>
        <w:t xml:space="preserve">] de N-BEATSx, calibrada por </w:t>
      </w:r>
      <w:r>
        <w:rPr>
          <w:rFonts w:ascii="Arial" w:hAnsi="Arial" w:cs="Arial"/>
          <w:b/>
        </w:rPr>
        <w:t>inferencia conforme adaptativa</w:t>
      </w:r>
      <w:r>
        <w:rPr>
          <w:rFonts w:ascii="Arial" w:hAnsi="Arial" w:cs="Arial"/>
        </w:rPr>
        <w:t xml:space="preserve"> [21], [22]: con la puntuación de no conformidad E</w:t>
      </w:r>
      <w:r>
        <w:rPr>
          <w:rFonts w:ascii="Arial" w:hAnsi="Arial" w:cs="Arial"/>
          <w:vertAlign w:val="subscript"/>
        </w:rPr>
        <w:t>i</w:t>
      </w:r>
      <w:r>
        <w:rPr>
          <w:rFonts w:ascii="Arial" w:hAnsi="Arial" w:cs="Arial"/>
        </w:rPr>
        <w:t>, cad</w:t>
      </w:r>
      <w:r>
        <w:rPr>
          <w:rFonts w:ascii="Arial" w:hAnsi="Arial" w:cs="Arial"/>
        </w:rPr>
        <w:t>a día d se ensancha la banda con el cuantil empírico Q̂</w:t>
      </w:r>
      <w:r>
        <w:rPr>
          <w:rFonts w:ascii="Arial" w:hAnsi="Arial" w:cs="Arial"/>
          <w:vertAlign w:val="subscript"/>
        </w:rPr>
        <w:t>d</w:t>
      </w:r>
      <w:r>
        <w:rPr>
          <w:rFonts w:ascii="Arial" w:hAnsi="Arial" w:cs="Arial"/>
        </w:rPr>
        <w:t xml:space="preserve"> de los 30 días anteriores (Ecuación 6, con 1 − α = 0,8):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7520"/>
        <w:gridCol w:w="940"/>
      </w:tblGrid>
      <w:tr w:rsidR="00C92ED1" w14:paraId="6031F8B6" w14:textId="77777777">
        <w:trPr>
          <w:cantSplit/>
          <w:jc w:val="center"/>
        </w:trPr>
        <w:tc>
          <w:tcPr>
            <w:tcW w:w="940" w:type="dxa"/>
            <w:vAlign w:val="center"/>
          </w:tcPr>
          <w:p w14:paraId="4C0192C9" w14:textId="77777777" w:rsidR="00C92ED1" w:rsidRDefault="00C92ED1">
            <w:pPr>
              <w:spacing w:after="0"/>
            </w:pPr>
          </w:p>
        </w:tc>
        <w:tc>
          <w:tcPr>
            <w:tcW w:w="7520" w:type="dxa"/>
            <w:vAlign w:val="center"/>
          </w:tcPr>
          <w:p w14:paraId="7369154A" w14:textId="77777777" w:rsidR="00C92ED1" w:rsidRDefault="004B15AE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10,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90,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),  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10,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90,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940" w:type="dxa"/>
            <w:vAlign w:val="center"/>
          </w:tcPr>
          <w:p w14:paraId="2162A3C8" w14:textId="77777777" w:rsidR="00C92ED1" w:rsidRDefault="004B15AE">
            <w:pPr>
              <w:spacing w:after="0"/>
              <w:jc w:val="right"/>
            </w:pPr>
            <w:r>
              <w:rPr>
                <w:rFonts w:ascii="Arial" w:hAnsi="Arial" w:cs="Arial"/>
              </w:rPr>
              <w:t>(6)</w:t>
            </w:r>
          </w:p>
        </w:tc>
      </w:tr>
    </w:tbl>
    <w:p w14:paraId="781F3BC6" w14:textId="77777777" w:rsidR="00C92ED1" w:rsidRDefault="00C92ED1">
      <w:pPr>
        <w:spacing w:after="0" w:line="240" w:lineRule="auto"/>
        <w:jc w:val="both"/>
      </w:pPr>
    </w:p>
    <w:p w14:paraId="61451D14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Aquí Q̂</w:t>
      </w:r>
      <w:r>
        <w:rPr>
          <w:rFonts w:ascii="Arial" w:hAnsi="Arial" w:cs="Arial"/>
          <w:vertAlign w:val="subscript"/>
        </w:rPr>
        <w:t>d</w:t>
      </w:r>
      <w:r>
        <w:rPr>
          <w:rFonts w:ascii="Arial" w:hAnsi="Arial" w:cs="Arial"/>
        </w:rPr>
        <w:t xml:space="preserve"> es el cuantil de nivel ⌈(n + 1)(1 − α)⌉/n de las n punt</w:t>
      </w:r>
      <w:r>
        <w:rPr>
          <w:rFonts w:ascii="Arial" w:hAnsi="Arial" w:cs="Arial"/>
        </w:rPr>
        <w:t>uaciones E</w:t>
      </w:r>
      <w:r>
        <w:rPr>
          <w:rFonts w:ascii="Arial" w:hAnsi="Arial" w:cs="Arial"/>
          <w:vertAlign w:val="subscript"/>
        </w:rPr>
        <w:t>i</w:t>
      </w:r>
      <w:r>
        <w:rPr>
          <w:rFonts w:ascii="Arial" w:hAnsi="Arial" w:cs="Arial"/>
        </w:rPr>
        <w:t xml:space="preserve"> de los 30 días anteriores al día d, de modo que el margen crece cuando el modelo empieza a fallar más. La banda cruda cubría solo el 62,6 % de las horas y la calibración estática entre 67 % y 72 %, porque el precio de 2026 cambió de régimen a m</w:t>
      </w:r>
      <w:r>
        <w:rPr>
          <w:rFonts w:ascii="Arial" w:hAnsi="Arial" w:cs="Arial"/>
        </w:rPr>
        <w:t xml:space="preserve">itad del año; la versión adaptativa cubre el 78,0 % a 24 h (objetivo </w:t>
      </w:r>
      <w:r>
        <w:rPr>
          <w:rFonts w:ascii="Arial" w:hAnsi="Arial" w:cs="Arial"/>
        </w:rPr>
        <w:lastRenderedPageBreak/>
        <w:t>80 %), con un ancho medio de 167,6 COP/kWh. La Figura 6 muestra el pronóstico y su banda en dos semanas de julio de 2026.</w:t>
      </w:r>
    </w:p>
    <w:p w14:paraId="337975BD" w14:textId="77777777" w:rsidR="00C92ED1" w:rsidRDefault="004B15AE">
      <w:pPr>
        <w:keepNext/>
        <w:spacing w:before="120" w:after="6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Tabla 5. Pronóstico de 72 h por tramo frente a la persistencia me</w:t>
      </w:r>
      <w:r>
        <w:rPr>
          <w:rFonts w:ascii="Arial" w:hAnsi="Arial" w:cs="Arial"/>
          <w:i/>
          <w:sz w:val="20"/>
          <w:szCs w:val="20"/>
        </w:rPr>
        <w:t>dida desde el mismo corte (prueba 2026) y cobertura de la banda.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5"/>
        <w:gridCol w:w="1144"/>
        <w:gridCol w:w="1144"/>
        <w:gridCol w:w="1265"/>
        <w:gridCol w:w="1265"/>
        <w:gridCol w:w="903"/>
        <w:gridCol w:w="903"/>
        <w:gridCol w:w="1325"/>
      </w:tblGrid>
      <w:tr w:rsidR="00C92ED1" w14:paraId="74CC0E3A" w14:textId="77777777">
        <w:trPr>
          <w:tblHeader/>
          <w:jc w:val="center"/>
        </w:trPr>
        <w:tc>
          <w:tcPr>
            <w:tcW w:w="1446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A6959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Tramo</w:t>
            </w:r>
          </w:p>
        </w:tc>
        <w:tc>
          <w:tcPr>
            <w:tcW w:w="1144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C5E26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MAE ensamble</w:t>
            </w:r>
          </w:p>
        </w:tc>
        <w:tc>
          <w:tcPr>
            <w:tcW w:w="1144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8C534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MAPE ensamble</w:t>
            </w:r>
          </w:p>
        </w:tc>
        <w:tc>
          <w:tcPr>
            <w:tcW w:w="126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62AE9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MAE persistencia</w:t>
            </w:r>
          </w:p>
        </w:tc>
        <w:tc>
          <w:tcPr>
            <w:tcW w:w="126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CFD53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MAPE persistencia</w:t>
            </w:r>
          </w:p>
        </w:tc>
        <w:tc>
          <w:tcPr>
            <w:tcW w:w="903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34092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rMAE</w:t>
            </w:r>
          </w:p>
        </w:tc>
        <w:tc>
          <w:tcPr>
            <w:tcW w:w="903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4F28E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DM (t)</w:t>
            </w:r>
          </w:p>
        </w:tc>
        <w:tc>
          <w:tcPr>
            <w:tcW w:w="132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E01D2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Cobertura [q</w:t>
            </w:r>
            <w:r>
              <w:rPr>
                <w:rFonts w:ascii="Arial" w:hAnsi="Arial" w:cs="Arial"/>
                <w:b/>
                <w:sz w:val="17"/>
                <w:szCs w:val="17"/>
                <w:vertAlign w:val="subscript"/>
              </w:rPr>
              <w:t>10</w:t>
            </w:r>
            <w:r>
              <w:rPr>
                <w:rFonts w:ascii="Arial" w:hAnsi="Arial" w:cs="Arial"/>
                <w:b/>
                <w:sz w:val="17"/>
                <w:szCs w:val="17"/>
              </w:rPr>
              <w:t>, q</w:t>
            </w:r>
            <w:r>
              <w:rPr>
                <w:rFonts w:ascii="Arial" w:hAnsi="Arial" w:cs="Arial"/>
                <w:b/>
                <w:sz w:val="17"/>
                <w:szCs w:val="17"/>
                <w:vertAlign w:val="subscript"/>
              </w:rPr>
              <w:t>90</w:t>
            </w:r>
            <w:r>
              <w:rPr>
                <w:rFonts w:ascii="Arial" w:hAnsi="Arial" w:cs="Arial"/>
                <w:b/>
                <w:sz w:val="17"/>
                <w:szCs w:val="17"/>
              </w:rPr>
              <w:t>]</w:t>
            </w:r>
          </w:p>
        </w:tc>
      </w:tr>
      <w:tr w:rsidR="00C92ED1" w14:paraId="4C067920" w14:textId="77777777">
        <w:trPr>
          <w:cantSplit/>
          <w:jc w:val="center"/>
        </w:trPr>
        <w:tc>
          <w:tcPr>
            <w:tcW w:w="1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4AC0D4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1-24 h</w:t>
            </w:r>
          </w:p>
        </w:tc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D4654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40,83</w:t>
            </w:r>
          </w:p>
        </w:tc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3EFE1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10,57 %</w:t>
            </w:r>
          </w:p>
        </w:tc>
        <w:tc>
          <w:tcPr>
            <w:tcW w:w="1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A7486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55,67</w:t>
            </w:r>
          </w:p>
        </w:tc>
        <w:tc>
          <w:tcPr>
            <w:tcW w:w="1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921F6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15,82 %</w:t>
            </w:r>
          </w:p>
        </w:tc>
        <w:tc>
          <w:tcPr>
            <w:tcW w:w="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CB161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0,733</w:t>
            </w:r>
          </w:p>
        </w:tc>
        <w:tc>
          <w:tcPr>
            <w:tcW w:w="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1B7D9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6,77</w:t>
            </w:r>
          </w:p>
        </w:tc>
        <w:tc>
          <w:tcPr>
            <w:tcW w:w="132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AE191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78,9 %</w:t>
            </w:r>
          </w:p>
        </w:tc>
      </w:tr>
      <w:tr w:rsidR="00C92ED1" w14:paraId="02CA8A3A" w14:textId="77777777">
        <w:trPr>
          <w:cantSplit/>
          <w:jc w:val="center"/>
        </w:trPr>
        <w:tc>
          <w:tcPr>
            <w:tcW w:w="1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61A9AD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25-48 h</w:t>
            </w:r>
          </w:p>
        </w:tc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B71EA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62,56</w:t>
            </w:r>
          </w:p>
        </w:tc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1FA71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18,29 %</w:t>
            </w:r>
          </w:p>
        </w:tc>
        <w:tc>
          <w:tcPr>
            <w:tcW w:w="1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5AD11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79,84</w:t>
            </w:r>
          </w:p>
        </w:tc>
        <w:tc>
          <w:tcPr>
            <w:tcW w:w="1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412C3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22,78 %</w:t>
            </w:r>
          </w:p>
        </w:tc>
        <w:tc>
          <w:tcPr>
            <w:tcW w:w="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20672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0,784</w:t>
            </w:r>
          </w:p>
        </w:tc>
        <w:tc>
          <w:tcPr>
            <w:tcW w:w="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232D3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5,80</w:t>
            </w:r>
          </w:p>
        </w:tc>
        <w:tc>
          <w:tcPr>
            <w:tcW w:w="132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8AB18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77,0 %</w:t>
            </w:r>
          </w:p>
        </w:tc>
      </w:tr>
      <w:tr w:rsidR="00C92ED1" w14:paraId="2BC01F05" w14:textId="77777777">
        <w:trPr>
          <w:cantSplit/>
          <w:jc w:val="center"/>
        </w:trPr>
        <w:tc>
          <w:tcPr>
            <w:tcW w:w="1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258D4A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49-72 h</w:t>
            </w:r>
          </w:p>
        </w:tc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AA2EE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72,87</w:t>
            </w:r>
          </w:p>
        </w:tc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D5DDF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21,69 %</w:t>
            </w:r>
          </w:p>
        </w:tc>
        <w:tc>
          <w:tcPr>
            <w:tcW w:w="1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B0E6E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94,10</w:t>
            </w:r>
          </w:p>
        </w:tc>
        <w:tc>
          <w:tcPr>
            <w:tcW w:w="1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962EB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26,98 %</w:t>
            </w:r>
          </w:p>
        </w:tc>
        <w:tc>
          <w:tcPr>
            <w:tcW w:w="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8AE84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0,774</w:t>
            </w:r>
          </w:p>
        </w:tc>
        <w:tc>
          <w:tcPr>
            <w:tcW w:w="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FF29F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6,19</w:t>
            </w:r>
          </w:p>
        </w:tc>
        <w:tc>
          <w:tcPr>
            <w:tcW w:w="132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FACE1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78,5 %</w:t>
            </w:r>
          </w:p>
        </w:tc>
      </w:tr>
      <w:tr w:rsidR="00C92ED1" w14:paraId="7486C696" w14:textId="77777777">
        <w:trPr>
          <w:cantSplit/>
          <w:jc w:val="center"/>
        </w:trPr>
        <w:tc>
          <w:tcPr>
            <w:tcW w:w="1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72C92E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Global 1-72 h</w:t>
            </w:r>
          </w:p>
        </w:tc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9C8C54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58,75</w:t>
            </w:r>
          </w:p>
        </w:tc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C04936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16,85 %</w:t>
            </w:r>
          </w:p>
        </w:tc>
        <w:tc>
          <w:tcPr>
            <w:tcW w:w="1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C5562A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76,54</w:t>
            </w:r>
          </w:p>
        </w:tc>
        <w:tc>
          <w:tcPr>
            <w:tcW w:w="1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874FEA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21,86 %</w:t>
            </w:r>
          </w:p>
        </w:tc>
        <w:tc>
          <w:tcPr>
            <w:tcW w:w="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11A8D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0,768</w:t>
            </w:r>
          </w:p>
        </w:tc>
        <w:tc>
          <w:tcPr>
            <w:tcW w:w="90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87EC7E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10,51</w:t>
            </w:r>
          </w:p>
        </w:tc>
        <w:tc>
          <w:tcPr>
            <w:tcW w:w="132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887F42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78,1 %</w:t>
            </w:r>
          </w:p>
        </w:tc>
      </w:tr>
    </w:tbl>
    <w:p w14:paraId="717D70DC" w14:textId="77777777" w:rsidR="00C92ED1" w:rsidRDefault="00C92ED1">
      <w:pPr>
        <w:spacing w:after="60" w:line="240" w:lineRule="auto"/>
        <w:jc w:val="both"/>
      </w:pPr>
    </w:p>
    <w:p w14:paraId="745F983D" w14:textId="77777777" w:rsidR="00C92ED1" w:rsidRDefault="004B15A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4B7295C" wp14:editId="71BA72AE">
            <wp:extent cx="5040000" cy="20459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real_vs_pronost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40CB" w14:textId="77777777" w:rsidR="00C92ED1" w:rsidRDefault="004B15AE">
      <w:pPr>
        <w:spacing w:after="20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Figura 6. Pronóstico de 24 h del ensamble frente al precio real, con la banda [q</w:t>
      </w:r>
      <w:r>
        <w:rPr>
          <w:rFonts w:ascii="Arial" w:hAnsi="Arial" w:cs="Arial"/>
          <w:i/>
          <w:sz w:val="20"/>
          <w:szCs w:val="20"/>
          <w:vertAlign w:val="subscript"/>
        </w:rPr>
        <w:t>10</w:t>
      </w:r>
      <w:r>
        <w:rPr>
          <w:rFonts w:ascii="Arial" w:hAnsi="Arial" w:cs="Arial"/>
          <w:i/>
          <w:sz w:val="20"/>
          <w:szCs w:val="20"/>
        </w:rPr>
        <w:t>, q</w:t>
      </w:r>
      <w:r>
        <w:rPr>
          <w:rFonts w:ascii="Arial" w:hAnsi="Arial" w:cs="Arial"/>
          <w:i/>
          <w:sz w:val="20"/>
          <w:szCs w:val="20"/>
          <w:vertAlign w:val="subscript"/>
        </w:rPr>
        <w:t>90</w:t>
      </w:r>
      <w:r>
        <w:rPr>
          <w:rFonts w:ascii="Arial" w:hAnsi="Arial" w:cs="Arial"/>
          <w:i/>
          <w:sz w:val="20"/>
          <w:szCs w:val="20"/>
        </w:rPr>
        <w:t>] calibrada, 6 al 19 de julio de 2026.</w:t>
      </w:r>
    </w:p>
    <w:p w14:paraId="11A25D21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Barraza.</w:t>
      </w:r>
    </w:p>
    <w:p w14:paraId="1CDB6301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scipy.optimize (programación lineal), numpy y pandas; scripts de combinación y calibración del repositorio.</w:t>
      </w:r>
    </w:p>
    <w:p w14:paraId="2771D0B1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7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15 %.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545FDA09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Comparación formal: precisión, significancia, costo e interpretabilidad</w:t>
      </w:r>
    </w:p>
    <w:p w14:paraId="7C3C6CE6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Todos los modelos se compararon sobre las mismas 5.184 horas de 2026 con las métricas de la Ecuación 7, donde el rMAE usa la persistencia como referencia y el MASE escala por el error ingenuo de entrenamiento [23]: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7520"/>
        <w:gridCol w:w="940"/>
      </w:tblGrid>
      <w:tr w:rsidR="00C92ED1" w14:paraId="00B1EEAE" w14:textId="77777777">
        <w:trPr>
          <w:cantSplit/>
          <w:jc w:val="center"/>
        </w:trPr>
        <w:tc>
          <w:tcPr>
            <w:tcW w:w="940" w:type="dxa"/>
            <w:vAlign w:val="center"/>
          </w:tcPr>
          <w:p w14:paraId="352AA765" w14:textId="77777777" w:rsidR="00C92ED1" w:rsidRDefault="00C92ED1">
            <w:pPr>
              <w:spacing w:after="0"/>
            </w:pPr>
          </w:p>
        </w:tc>
        <w:tc>
          <w:tcPr>
            <w:tcW w:w="7520" w:type="dxa"/>
            <w:vAlign w:val="center"/>
          </w:tcPr>
          <w:p w14:paraId="4064A0A3" w14:textId="77777777" w:rsidR="00C92ED1" w:rsidRDefault="004B15AE">
            <w:pPr>
              <w:spacing w:after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MAE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</m:e>
                </m:nary>
                <m:r>
                  <w:rPr>
                    <w:rFonts w:ascii="Cambria Math" w:hAnsi="Cambria Math"/>
                  </w:rPr>
                  <m:t>,  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MAPE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w:rPr>
                        <w:rFonts w:ascii="Cambria Math" w:hAnsi="Cambria Math"/>
                      </w:rPr>
                      <m:t>%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 w14:paraId="6F7369F9" w14:textId="77777777" w:rsidR="00C92ED1" w:rsidRDefault="004B15AE">
            <w:pPr>
              <w:spacing w:after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rMAE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modelo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pers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40" w:type="dxa"/>
            <w:vAlign w:val="center"/>
          </w:tcPr>
          <w:p w14:paraId="39B570B7" w14:textId="77777777" w:rsidR="00C92ED1" w:rsidRDefault="004B15AE">
            <w:pPr>
              <w:spacing w:after="0"/>
              <w:jc w:val="right"/>
            </w:pPr>
            <w:r>
              <w:rPr>
                <w:rFonts w:ascii="Arial" w:hAnsi="Arial" w:cs="Arial"/>
              </w:rPr>
              <w:t>(7)</w:t>
            </w:r>
          </w:p>
        </w:tc>
      </w:tr>
    </w:tbl>
    <w:p w14:paraId="451E46A7" w14:textId="77777777" w:rsidR="00C92ED1" w:rsidRDefault="00C92ED1">
      <w:pPr>
        <w:spacing w:after="0" w:line="240" w:lineRule="auto"/>
        <w:jc w:val="both"/>
      </w:pPr>
    </w:p>
    <w:p w14:paraId="35894C69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La significancia se evalúa con la prueba de Diebold-Mariano [2] sobre la diferencia de errores absolutos, con varianza de Newey-West [24] para corregir la autocorrelación de los errores </w:t>
      </w:r>
      <w:r>
        <w:rPr>
          <w:rFonts w:ascii="Arial" w:hAnsi="Arial" w:cs="Arial"/>
        </w:rPr>
        <w:lastRenderedPageBreak/>
        <w:t>horarios (Ecuación 8). Para el ensamble la hipótesis es de una cola, H</w:t>
      </w:r>
      <w:r>
        <w:rPr>
          <w:rFonts w:ascii="Arial" w:hAnsi="Arial" w:cs="Arial"/>
          <w:vertAlign w:val="subscript"/>
        </w:rPr>
        <w:t>0</w:t>
      </w:r>
      <w:r>
        <w:rPr>
          <w:rFonts w:ascii="Arial" w:hAnsi="Arial" w:cs="Arial"/>
        </w:rPr>
        <w:t>: E[d</w:t>
      </w:r>
      <w:r>
        <w:rPr>
          <w:rFonts w:ascii="Arial" w:hAnsi="Arial" w:cs="Arial"/>
          <w:vertAlign w:val="subscript"/>
        </w:rPr>
        <w:t>t</w:t>
      </w:r>
      <w:r>
        <w:rPr>
          <w:rFonts w:ascii="Arial" w:hAnsi="Arial" w:cs="Arial"/>
        </w:rPr>
        <w:t>] = 0 frente a H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>: E[d</w:t>
      </w:r>
      <w:r>
        <w:rPr>
          <w:rFonts w:ascii="Arial" w:hAnsi="Arial" w:cs="Arial"/>
          <w:vertAlign w:val="subscript"/>
        </w:rPr>
        <w:t>t</w:t>
      </w:r>
      <w:r>
        <w:rPr>
          <w:rFonts w:ascii="Arial" w:hAnsi="Arial" w:cs="Arial"/>
        </w:rPr>
        <w:t>] &gt; 0, porque la especificación exige superar a la referencia: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7520"/>
        <w:gridCol w:w="940"/>
      </w:tblGrid>
      <w:tr w:rsidR="00C92ED1" w14:paraId="144DD544" w14:textId="77777777">
        <w:trPr>
          <w:cantSplit/>
          <w:jc w:val="center"/>
        </w:trPr>
        <w:tc>
          <w:tcPr>
            <w:tcW w:w="940" w:type="dxa"/>
            <w:vAlign w:val="center"/>
          </w:tcPr>
          <w:p w14:paraId="6F4531FB" w14:textId="77777777" w:rsidR="00C92ED1" w:rsidRDefault="00C92ED1">
            <w:pPr>
              <w:spacing w:after="0"/>
            </w:pPr>
          </w:p>
        </w:tc>
        <w:tc>
          <w:tcPr>
            <w:tcW w:w="7520" w:type="dxa"/>
            <w:vAlign w:val="center"/>
          </w:tcPr>
          <w:p w14:paraId="4C9B6238" w14:textId="77777777" w:rsidR="00C92ED1" w:rsidRDefault="004B15AE">
            <w:pPr>
              <w:spacing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DM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ba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HAC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a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,  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=|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ref</m:t>
                    </m:r>
                  </m:sup>
                </m:sSubSup>
                <m:r>
                  <w:rPr>
                    <w:rFonts w:ascii="Cambria Math" w:hAnsi="Cambria Math"/>
                  </w:rPr>
                  <m:t>|-|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modelo</m:t>
                    </m:r>
                  </m:sup>
                </m:sSubSup>
                <m: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940" w:type="dxa"/>
            <w:vAlign w:val="center"/>
          </w:tcPr>
          <w:p w14:paraId="0013D7E3" w14:textId="77777777" w:rsidR="00C92ED1" w:rsidRDefault="004B15AE">
            <w:pPr>
              <w:spacing w:after="0"/>
              <w:jc w:val="right"/>
            </w:pPr>
            <w:r>
              <w:rPr>
                <w:rFonts w:ascii="Arial" w:hAnsi="Arial" w:cs="Arial"/>
              </w:rPr>
              <w:t>(8)</w:t>
            </w:r>
          </w:p>
        </w:tc>
      </w:tr>
    </w:tbl>
    <w:p w14:paraId="08FB5538" w14:textId="77777777" w:rsidR="00C92ED1" w:rsidRDefault="00C92ED1">
      <w:pPr>
        <w:spacing w:after="0" w:line="240" w:lineRule="auto"/>
        <w:jc w:val="both"/>
      </w:pPr>
    </w:p>
    <w:p w14:paraId="2D00F95D" w14:textId="77777777" w:rsidR="00C92ED1" w:rsidRDefault="004B15AE">
      <w:pPr>
        <w:keepNext/>
        <w:spacing w:before="120" w:after="6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Tabla 6. Desempeño a 24 h fuera de muestra (1 de enero a 5 de agosto de 2026, n = 5.184 h).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4"/>
        <w:gridCol w:w="1287"/>
        <w:gridCol w:w="1287"/>
        <w:gridCol w:w="1158"/>
        <w:gridCol w:w="1158"/>
        <w:gridCol w:w="1030"/>
        <w:gridCol w:w="1030"/>
      </w:tblGrid>
      <w:tr w:rsidR="00C92ED1" w14:paraId="2F05BAD1" w14:textId="77777777">
        <w:trPr>
          <w:tblHeader/>
          <w:jc w:val="center"/>
        </w:trPr>
        <w:tc>
          <w:tcPr>
            <w:tcW w:w="2446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6B390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Modelo</w:t>
            </w:r>
          </w:p>
        </w:tc>
        <w:tc>
          <w:tcPr>
            <w:tcW w:w="1287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77737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MAE</w:t>
            </w:r>
          </w:p>
          <w:p w14:paraId="1E94B53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(COP/kWh)</w:t>
            </w:r>
          </w:p>
        </w:tc>
        <w:tc>
          <w:tcPr>
            <w:tcW w:w="1287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F86F1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RMSE</w:t>
            </w:r>
          </w:p>
          <w:p w14:paraId="5ACAD87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(COP/kWh)</w:t>
            </w:r>
          </w:p>
        </w:tc>
        <w:tc>
          <w:tcPr>
            <w:tcW w:w="115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DE300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MAPE (%)</w:t>
            </w:r>
          </w:p>
        </w:tc>
        <w:tc>
          <w:tcPr>
            <w:tcW w:w="115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E5799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sMAPE (%)</w:t>
            </w:r>
          </w:p>
        </w:tc>
        <w:tc>
          <w:tcPr>
            <w:tcW w:w="103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76C27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rMAE</w:t>
            </w:r>
          </w:p>
        </w:tc>
        <w:tc>
          <w:tcPr>
            <w:tcW w:w="103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10226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DM (t)</w:t>
            </w:r>
          </w:p>
        </w:tc>
      </w:tr>
      <w:tr w:rsidR="00C92ED1" w14:paraId="42311800" w14:textId="77777777">
        <w:trPr>
          <w:cantSplit/>
          <w:jc w:val="center"/>
        </w:trPr>
        <w:tc>
          <w:tcPr>
            <w:tcW w:w="2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DCAA23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Persistencia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77BBC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56,40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6AE06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112,34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2FFB6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15,81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CB8CE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14,77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E983D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1,000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74781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—</w:t>
            </w:r>
          </w:p>
        </w:tc>
      </w:tr>
      <w:tr w:rsidR="00C92ED1" w14:paraId="1BD41BC7" w14:textId="77777777">
        <w:trPr>
          <w:cantSplit/>
          <w:jc w:val="center"/>
        </w:trPr>
        <w:tc>
          <w:tcPr>
            <w:tcW w:w="2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729090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XGBoost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20D8F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61,39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30C19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107,64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80994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15,97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85DCB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15,26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7125B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1,089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C15B3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−</w:t>
            </w:r>
            <w:r>
              <w:rPr>
                <w:rFonts w:ascii="Arial" w:hAnsi="Arial" w:cs="Arial"/>
                <w:sz w:val="17"/>
                <w:szCs w:val="17"/>
              </w:rPr>
              <w:t>2,99</w:t>
            </w:r>
          </w:p>
        </w:tc>
      </w:tr>
      <w:tr w:rsidR="00C92ED1" w14:paraId="078F06E8" w14:textId="77777777">
        <w:trPr>
          <w:cantSplit/>
          <w:jc w:val="center"/>
        </w:trPr>
        <w:tc>
          <w:tcPr>
            <w:tcW w:w="2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3A64E1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ARX+GARCH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3CDF6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55,83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547B0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110,08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01270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15,48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43A6D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14,56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654C4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0,990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2BC0C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1,41</w:t>
            </w:r>
          </w:p>
        </w:tc>
      </w:tr>
      <w:tr w:rsidR="00C92ED1" w14:paraId="560BBCF1" w14:textId="77777777">
        <w:trPr>
          <w:cantSplit/>
          <w:jc w:val="center"/>
        </w:trPr>
        <w:tc>
          <w:tcPr>
            <w:tcW w:w="2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08B4BF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N-BEATSx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0ABB4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45,15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BFA653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89,06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5CB0F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11,78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FCF1E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10,85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D826E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0,800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58F71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5,13</w:t>
            </w:r>
          </w:p>
        </w:tc>
      </w:tr>
      <w:tr w:rsidR="00C92ED1" w14:paraId="7071E94B" w14:textId="77777777">
        <w:trPr>
          <w:cantSplit/>
          <w:jc w:val="center"/>
        </w:trPr>
        <w:tc>
          <w:tcPr>
            <w:tcW w:w="2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5C3B00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N-HiTS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50337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46,42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D3F6A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90,54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A995D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12,48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E65603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11,49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7E830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0,823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76CBB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4,16</w:t>
            </w:r>
          </w:p>
        </w:tc>
      </w:tr>
      <w:tr w:rsidR="00C92ED1" w14:paraId="0A07949C" w14:textId="77777777">
        <w:trPr>
          <w:cantSplit/>
          <w:jc w:val="center"/>
        </w:trPr>
        <w:tc>
          <w:tcPr>
            <w:tcW w:w="2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0FDCD4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GARCH-ged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97912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45,50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A83A5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94,44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D400A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12,32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295AE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11,18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91737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0,807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0849E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5,53</w:t>
            </w:r>
          </w:p>
        </w:tc>
      </w:tr>
      <w:tr w:rsidR="00C92ED1" w14:paraId="0F618F53" w14:textId="77777777">
        <w:trPr>
          <w:cantSplit/>
          <w:jc w:val="center"/>
        </w:trPr>
        <w:tc>
          <w:tcPr>
            <w:tcW w:w="244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DCE3E9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Ensamble (6 votantes)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20472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40,97</w:t>
            </w:r>
          </w:p>
        </w:tc>
        <w:tc>
          <w:tcPr>
            <w:tcW w:w="128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57418B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85,48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7A542E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10,45</w:t>
            </w:r>
          </w:p>
        </w:tc>
        <w:tc>
          <w:tcPr>
            <w:tcW w:w="115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FC24A7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9,80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17007F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0,727</w:t>
            </w:r>
          </w:p>
        </w:tc>
        <w:tc>
          <w:tcPr>
            <w:tcW w:w="10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7ADC49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7,76</w:t>
            </w:r>
          </w:p>
        </w:tc>
      </w:tr>
    </w:tbl>
    <w:p w14:paraId="2CC41C79" w14:textId="77777777" w:rsidR="00C92ED1" w:rsidRDefault="00C92ED1">
      <w:pPr>
        <w:spacing w:after="60" w:line="240" w:lineRule="auto"/>
        <w:jc w:val="both"/>
      </w:pPr>
    </w:p>
    <w:p w14:paraId="7A852612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El ensamble reduce el error absoluto medio en </w:t>
      </w:r>
      <w:r>
        <w:rPr>
          <w:rFonts w:ascii="Arial" w:hAnsi="Arial" w:cs="Arial"/>
          <w:b/>
        </w:rPr>
        <w:t>27 %</w:t>
      </w:r>
      <w:r>
        <w:rPr>
          <w:rFonts w:ascii="Arial" w:hAnsi="Arial" w:cs="Arial"/>
        </w:rPr>
        <w:t xml:space="preserve"> frente a la persistencia (40,97 frente a 56,40 COP/kWh) y el MAPE de 15,81 % a 10,45 %, y se rechaza H</w:t>
      </w:r>
      <w:r>
        <w:rPr>
          <w:rFonts w:ascii="Arial" w:hAnsi="Arial" w:cs="Arial"/>
          <w:vertAlign w:val="subscript"/>
        </w:rPr>
        <w:t>0</w:t>
      </w:r>
      <w:r>
        <w:rPr>
          <w:rFonts w:ascii="Arial" w:hAnsi="Arial" w:cs="Arial"/>
        </w:rPr>
        <w:t xml:space="preserve"> con p unilateral &lt; 0,001 a 24 h (t = 7,76), en la versión desplegable, cuyos pesos solo usan días anteriores (t = 7,02), y a 72 h (t = 10,51). Reentren</w:t>
      </w:r>
      <w:r>
        <w:rPr>
          <w:rFonts w:ascii="Arial" w:hAnsi="Arial" w:cs="Arial"/>
        </w:rPr>
        <w:t>ar el bloque de 24 h toma 7,2 minutos en el portátil sin GPU, dentro del límite de 15 minutos fijado como requerimiento. Para la interpretabilidad, SHAP [25] y la importancia por permutación sobre XGBoost coinciden en las tres variables más importantes (pr</w:t>
      </w:r>
      <w:r>
        <w:rPr>
          <w:rFonts w:ascii="Arial" w:hAnsi="Arial" w:cs="Arial"/>
        </w:rPr>
        <w:t>ecio rezagado 24 h, media de 24 h y precio rezagado 168 h; correlación de Spearman entre rankings de 0,811), las mismas que la caracterización de OE1 señalaba como dominantes.</w:t>
      </w:r>
    </w:p>
    <w:p w14:paraId="611271C1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Barraza.</w:t>
      </w:r>
    </w:p>
    <w:p w14:paraId="1BA2E4A3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statsmodels (v</w:t>
      </w:r>
      <w:r>
        <w:rPr>
          <w:rFonts w:ascii="Arial" w:hAnsi="Arial" w:cs="Arial"/>
        </w:rPr>
        <w:t>arianza HAC), shap, scipy.stats; notebook 10 y scripts de evaluación.</w:t>
      </w:r>
    </w:p>
    <w:p w14:paraId="532A0DCA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14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15 %.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0F5FF0A7" w14:textId="77777777" w:rsidR="00210987" w:rsidRPr="00C0027C" w:rsidRDefault="00C0027C" w:rsidP="00C0027C">
      <w:pPr>
        <w:pStyle w:val="Heading2"/>
        <w:ind w:firstLine="284"/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</w:pPr>
      <w:bookmarkStart w:id="6" w:name="_Toc241498806"/>
      <w:r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  <w:t>2.3 Actividades realizadas que contribuyen al logro del objetivo específico 3:</w:t>
      </w:r>
      <w:bookmarkEnd w:id="6"/>
    </w:p>
    <w:p w14:paraId="6E9FEA37" w14:textId="77777777" w:rsidR="00C92ED1" w:rsidRDefault="004B15AE">
      <w:pPr>
        <w:spacing w:before="60" w:line="240" w:lineRule="auto"/>
        <w:jc w:val="both"/>
      </w:pPr>
      <w:r>
        <w:rPr>
          <w:rFonts w:ascii="Arial" w:hAnsi="Arial" w:cs="Arial"/>
          <w:i/>
        </w:rPr>
        <w:t>OE3. Diseñar e implementar un mo</w:t>
      </w:r>
      <w:r>
        <w:rPr>
          <w:rFonts w:ascii="Arial" w:hAnsi="Arial" w:cs="Arial"/>
          <w:i/>
        </w:rPr>
        <w:t>tor de decisión que traduzca los pronósticos y su incertidumbre en señales de compra, venta o espera.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Avance: 70 %.</w:t>
      </w:r>
    </w:p>
    <w:p w14:paraId="07E93EFD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Diseño del motor de decisión por umbrales</w:t>
      </w:r>
    </w:p>
    <w:p w14:paraId="1A221EE5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El motor traduce el pronóstico probabilístico de cada hora en una acción discreta según el rol del usuario. Cada método fija un umbral bajo u</w:t>
      </w:r>
      <w:r>
        <w:rPr>
          <w:rFonts w:ascii="Arial" w:hAnsi="Arial" w:cs="Arial"/>
          <w:vertAlign w:val="subscript"/>
        </w:rPr>
        <w:t>L</w:t>
      </w:r>
      <w:r>
        <w:rPr>
          <w:rFonts w:ascii="Arial" w:hAnsi="Arial" w:cs="Arial"/>
        </w:rPr>
        <w:t xml:space="preserve"> y uno alto u</w:t>
      </w:r>
      <w:r>
        <w:rPr>
          <w:rFonts w:ascii="Arial" w:hAnsi="Arial" w:cs="Arial"/>
          <w:vertAlign w:val="subscript"/>
        </w:rPr>
        <w:t>H</w:t>
      </w:r>
      <w:r>
        <w:rPr>
          <w:rFonts w:ascii="Arial" w:hAnsi="Arial" w:cs="Arial"/>
        </w:rPr>
        <w:t xml:space="preserve"> y compara con ellos la mediana q̂</w:t>
      </w:r>
      <w:r>
        <w:rPr>
          <w:rFonts w:ascii="Arial" w:hAnsi="Arial" w:cs="Arial"/>
          <w:vertAlign w:val="subscript"/>
        </w:rPr>
        <w:t>50</w:t>
      </w:r>
      <w:r>
        <w:rPr>
          <w:rFonts w:ascii="Arial" w:hAnsi="Arial" w:cs="Arial"/>
        </w:rPr>
        <w:t xml:space="preserve"> (Ecuación 9); los métodos «banda» e «híbrido» emiten además «es</w:t>
      </w:r>
      <w:r>
        <w:rPr>
          <w:rFonts w:ascii="Arial" w:hAnsi="Arial" w:cs="Arial"/>
        </w:rPr>
        <w:t>perar» cuando el ancho de la banda supera su percentil 75 histórico w</w:t>
      </w:r>
      <w:r>
        <w:rPr>
          <w:rFonts w:ascii="Arial" w:hAnsi="Arial" w:cs="Arial"/>
          <w:vertAlign w:val="subscript"/>
        </w:rPr>
        <w:t>75</w:t>
      </w:r>
      <w:r>
        <w:rPr>
          <w:rFonts w:ascii="Arial" w:hAnsi="Arial" w:cs="Arial"/>
        </w:rPr>
        <w:t>, es decir, cuando la confianza es baja: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7520"/>
        <w:gridCol w:w="940"/>
      </w:tblGrid>
      <w:tr w:rsidR="00C92ED1" w14:paraId="637AE3A5" w14:textId="77777777">
        <w:trPr>
          <w:cantSplit/>
          <w:jc w:val="center"/>
        </w:trPr>
        <w:tc>
          <w:tcPr>
            <w:tcW w:w="940" w:type="dxa"/>
            <w:vAlign w:val="center"/>
          </w:tcPr>
          <w:p w14:paraId="2A07E666" w14:textId="77777777" w:rsidR="00C92ED1" w:rsidRDefault="00C92ED1">
            <w:pPr>
              <w:spacing w:after="0"/>
            </w:pPr>
          </w:p>
        </w:tc>
        <w:tc>
          <w:tcPr>
            <w:tcW w:w="7520" w:type="dxa"/>
            <w:vAlign w:val="center"/>
          </w:tcPr>
          <w:p w14:paraId="0C1E9B2B" w14:textId="77777777" w:rsidR="00C92ED1" w:rsidRDefault="004B15AE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nor/>
                  </m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</m:t>
                </m:r>
                <m:r>
                  <m:rPr>
                    <m:nor/>
                  </m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50,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  <w:p w14:paraId="0D33785F" w14:textId="77777777" w:rsidR="00C92ED1" w:rsidRDefault="004B15AE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nor/>
                  </m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</m:t>
                </m:r>
                <m:r>
                  <m:rPr>
                    <m:nor/>
                  </m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50,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  <w:p w14:paraId="0A9D8D63" w14:textId="77777777" w:rsidR="00C92ED1" w:rsidRDefault="004B15AE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nor/>
                  </m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en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otro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caso</m:t>
                </m:r>
              </m:oMath>
            </m:oMathPara>
          </w:p>
        </w:tc>
        <w:tc>
          <w:tcPr>
            <w:tcW w:w="940" w:type="dxa"/>
            <w:vAlign w:val="center"/>
          </w:tcPr>
          <w:p w14:paraId="5945BD45" w14:textId="77777777" w:rsidR="00C92ED1" w:rsidRDefault="004B15AE">
            <w:pPr>
              <w:spacing w:after="0"/>
              <w:jc w:val="right"/>
            </w:pPr>
            <w:r>
              <w:rPr>
                <w:rFonts w:ascii="Arial" w:hAnsi="Arial" w:cs="Arial"/>
              </w:rPr>
              <w:t>(9)</w:t>
            </w:r>
          </w:p>
        </w:tc>
      </w:tr>
    </w:tbl>
    <w:p w14:paraId="7C7C1A23" w14:textId="77777777" w:rsidR="00C92ED1" w:rsidRDefault="00C92ED1">
      <w:pPr>
        <w:spacing w:after="0" w:line="240" w:lineRule="auto"/>
        <w:jc w:val="both"/>
      </w:pPr>
    </w:p>
    <w:p w14:paraId="4003B1D1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lastRenderedPageBreak/>
        <w:t>donde C es «comprar» para el comercializador o «retener» para el generador, V es «evitar compra» o «vender», y E es «esperar».</w:t>
      </w:r>
    </w:p>
    <w:p w14:paraId="68C97790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Los umbrales por defecto son los percentiles 25 y 75, el rango intercuartílico convencional para separar valores típicos de extre</w:t>
      </w:r>
      <w:r>
        <w:rPr>
          <w:rFonts w:ascii="Arial" w:hAnsi="Arial" w:cs="Arial"/>
        </w:rPr>
        <w:t>mos [26]. Los cuatro métodos difieren en la referencia: «fijo» usa los percentiles del precio de entrenamiento 2019-2025; «rodante», los de una ventana móvil causal de 30 días sobre q̂</w:t>
      </w:r>
      <w:r>
        <w:rPr>
          <w:rFonts w:ascii="Arial" w:hAnsi="Arial" w:cs="Arial"/>
          <w:vertAlign w:val="subscript"/>
        </w:rPr>
        <w:t>50</w:t>
      </w:r>
      <w:r>
        <w:rPr>
          <w:rFonts w:ascii="Arial" w:hAnsi="Arial" w:cs="Arial"/>
        </w:rPr>
        <w:t>, que se adapta al régimen vigente [27]; «banda» es el fijo más el fil</w:t>
      </w:r>
      <w:r>
        <w:rPr>
          <w:rFonts w:ascii="Arial" w:hAnsi="Arial" w:cs="Arial"/>
        </w:rPr>
        <w:t xml:space="preserve">tro de confianza; e «híbrido» combina el umbral rodante con ese filtro. El método activo se elige por backtesting con un criterio de </w:t>
      </w:r>
      <w:r>
        <w:rPr>
          <w:rFonts w:ascii="Arial" w:hAnsi="Arial" w:cs="Arial"/>
          <w:b/>
        </w:rPr>
        <w:t>estabilidad</w:t>
      </w:r>
      <w:r>
        <w:rPr>
          <w:rFonts w:ascii="Arial" w:hAnsi="Arial" w:cs="Arial"/>
        </w:rPr>
        <w:t xml:space="preserve"> (Ecuación 10): entre los métodos cuya frecuencia de acción f está entre 10 % y 40 % en ambas mitades del period</w:t>
      </w:r>
      <w:r>
        <w:rPr>
          <w:rFonts w:ascii="Arial" w:hAnsi="Arial" w:cs="Arial"/>
        </w:rPr>
        <w:t>o, gana el de mayor ventaja V en su mitad más débil (criterio maximin [28]), no el de mayor promedio: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7520"/>
        <w:gridCol w:w="940"/>
      </w:tblGrid>
      <w:tr w:rsidR="00C92ED1" w14:paraId="276483F5" w14:textId="77777777">
        <w:trPr>
          <w:cantSplit/>
          <w:jc w:val="center"/>
        </w:trPr>
        <w:tc>
          <w:tcPr>
            <w:tcW w:w="940" w:type="dxa"/>
            <w:vAlign w:val="center"/>
          </w:tcPr>
          <w:p w14:paraId="13FCCAF2" w14:textId="77777777" w:rsidR="00C92ED1" w:rsidRDefault="00C92ED1">
            <w:pPr>
              <w:spacing w:after="0"/>
            </w:pPr>
          </w:p>
        </w:tc>
        <w:tc>
          <w:tcPr>
            <w:tcW w:w="7520" w:type="dxa"/>
            <w:vAlign w:val="center"/>
          </w:tcPr>
          <w:p w14:paraId="64027483" w14:textId="77777777" w:rsidR="00C92ED1" w:rsidRDefault="004B15AE">
            <w:pPr>
              <w:spacing w:after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argmax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adm</m:t>
                        </m:r>
                      </m:sub>
                    </m:sSub>
                  </m:sub>
                </m:sSub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(1)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(2)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4D3CB42F" w14:textId="77777777" w:rsidR="00C92ED1" w:rsidRDefault="004B15AE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adm</m:t>
                    </m:r>
                  </m:sub>
                </m:sSub>
                <m:r>
                  <w:rPr>
                    <w:rFonts w:ascii="Cambria Math" w:hAnsi="Cambria Math"/>
                  </w:rPr>
                  <m:t>={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:</m:t>
                </m:r>
                <m:r>
                  <m:rPr>
                    <m:nor/>
                  </m:rPr>
                  <m:t xml:space="preserve"> </m:t>
                </m:r>
                <m:r>
                  <w:rPr>
                    <w:rFonts w:ascii="Cambria Math" w:hAnsi="Cambria Math"/>
                  </w:rPr>
                  <m:t>10%≤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(h)</m:t>
                    </m:r>
                  </m:sup>
                </m:sSubSup>
                <m:r>
                  <w:rPr>
                    <w:rFonts w:ascii="Cambria Math" w:hAnsi="Cambria Math"/>
                  </w:rPr>
                  <m:t>≤40%,</m:t>
                </m:r>
                <m:r>
                  <m:rPr>
                    <m:nor/>
                  </m:rPr>
                  <m:t xml:space="preserve"> 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=1,2}</m:t>
                </m:r>
              </m:oMath>
            </m:oMathPara>
          </w:p>
        </w:tc>
        <w:tc>
          <w:tcPr>
            <w:tcW w:w="940" w:type="dxa"/>
            <w:vAlign w:val="center"/>
          </w:tcPr>
          <w:p w14:paraId="2CD94CD0" w14:textId="77777777" w:rsidR="00C92ED1" w:rsidRDefault="004B15AE">
            <w:pPr>
              <w:spacing w:after="0"/>
              <w:jc w:val="right"/>
            </w:pPr>
            <w:r>
              <w:rPr>
                <w:rFonts w:ascii="Arial" w:hAnsi="Arial" w:cs="Arial"/>
              </w:rPr>
              <w:t>(10)</w:t>
            </w:r>
          </w:p>
        </w:tc>
      </w:tr>
    </w:tbl>
    <w:p w14:paraId="562710EA" w14:textId="77777777" w:rsidR="00C92ED1" w:rsidRDefault="00C92ED1">
      <w:pPr>
        <w:spacing w:after="0" w:line="240" w:lineRule="auto"/>
        <w:jc w:val="both"/>
      </w:pPr>
    </w:p>
    <w:p w14:paraId="33C0C2B7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La Figura 7 muestra el motor en operación durante una semana de julio d</w:t>
      </w:r>
      <w:r>
        <w:rPr>
          <w:rFonts w:ascii="Arial" w:hAnsi="Arial" w:cs="Arial"/>
        </w:rPr>
        <w:t>e 2026 con el método que elige el criterio de estabilidad para el generador («híbrido»). Cuando la mediana del pronóstico supera el umbral alto, el motor recomienda vender, y cuando cae bajo el umbral bajo, retener; si en esas horas la banda es más ancha q</w:t>
      </w:r>
      <w:r>
        <w:rPr>
          <w:rFonts w:ascii="Arial" w:hAnsi="Arial" w:cs="Arial"/>
        </w:rPr>
        <w:t>ue su percentil 75, la confianza es baja y el motor espera. El 13 de julio, por ejemplo, recomendó vender en horas en que el precio real cayó, un error que proviene del pronóstico y que la banda no alcanzó a señalar.</w:t>
      </w:r>
    </w:p>
    <w:p w14:paraId="04FABAEE" w14:textId="77777777" w:rsidR="00C92ED1" w:rsidRDefault="004B15A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8CE8043" wp14:editId="451B5857">
            <wp:extent cx="4680000" cy="28040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motor_hibr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E4C6" w14:textId="77777777" w:rsidR="00C92ED1" w:rsidRDefault="004B15AE">
      <w:pPr>
        <w:spacing w:after="20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Figura 7. Motor de decisión en operación, método «híbrido» para el generador (13 al 19 de julio de 2026): pronóstico mediano, banda [q</w:t>
      </w:r>
      <w:r>
        <w:rPr>
          <w:rFonts w:ascii="Arial" w:hAnsi="Arial" w:cs="Arial"/>
          <w:i/>
          <w:sz w:val="20"/>
          <w:szCs w:val="20"/>
          <w:vertAlign w:val="subscript"/>
        </w:rPr>
        <w:t>10</w:t>
      </w:r>
      <w:r>
        <w:rPr>
          <w:rFonts w:ascii="Arial" w:hAnsi="Arial" w:cs="Arial"/>
          <w:i/>
          <w:sz w:val="20"/>
          <w:szCs w:val="20"/>
        </w:rPr>
        <w:t>, q</w:t>
      </w:r>
      <w:r>
        <w:rPr>
          <w:rFonts w:ascii="Arial" w:hAnsi="Arial" w:cs="Arial"/>
          <w:i/>
          <w:sz w:val="20"/>
          <w:szCs w:val="20"/>
          <w:vertAlign w:val="subscript"/>
        </w:rPr>
        <w:t>90</w:t>
      </w:r>
      <w:r>
        <w:rPr>
          <w:rFonts w:ascii="Arial" w:hAnsi="Arial" w:cs="Arial"/>
          <w:i/>
          <w:sz w:val="20"/>
          <w:szCs w:val="20"/>
        </w:rPr>
        <w:t>], umbrales rodantes y acción recomendada en cada hora.</w:t>
      </w:r>
    </w:p>
    <w:p w14:paraId="72124F20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Perdomo.</w:t>
      </w:r>
    </w:p>
    <w:p w14:paraId="43727E9A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pandas y numpy; módulo src/motor_decision.py y notebook 12.</w:t>
      </w:r>
    </w:p>
    <w:p w14:paraId="1A6FBD14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7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30 %.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4BB567A8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lastRenderedPageBreak/>
        <w:t>Contrato de datos y desacople entre el motor y el modelo de pronóstico</w:t>
      </w:r>
    </w:p>
    <w:p w14:paraId="09566523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El motor no importa ningún modelo: lee el pronóstico a través de un contrato de datos (fuentes_pronostico.json) con la fecha y hora, el valor real y los cuantiles q</w:t>
      </w:r>
      <w:r>
        <w:rPr>
          <w:rFonts w:ascii="Arial" w:hAnsi="Arial" w:cs="Arial"/>
          <w:vertAlign w:val="subscript"/>
        </w:rPr>
        <w:t>10</w:t>
      </w:r>
      <w:r>
        <w:rPr>
          <w:rFonts w:ascii="Arial" w:hAnsi="Arial" w:cs="Arial"/>
        </w:rPr>
        <w:t>, q</w:t>
      </w:r>
      <w:r>
        <w:rPr>
          <w:rFonts w:ascii="Arial" w:hAnsi="Arial" w:cs="Arial"/>
          <w:vertAlign w:val="subscript"/>
        </w:rPr>
        <w:t>50</w:t>
      </w:r>
      <w:r>
        <w:rPr>
          <w:rFonts w:ascii="Arial" w:hAnsi="Arial" w:cs="Arial"/>
        </w:rPr>
        <w:t xml:space="preserve"> y q</w:t>
      </w:r>
      <w:r>
        <w:rPr>
          <w:rFonts w:ascii="Arial" w:hAnsi="Arial" w:cs="Arial"/>
          <w:vertAlign w:val="subscript"/>
        </w:rPr>
        <w:t>90</w:t>
      </w:r>
      <w:r>
        <w:rPr>
          <w:rFonts w:ascii="Arial" w:hAnsi="Arial" w:cs="Arial"/>
        </w:rPr>
        <w:t xml:space="preserve"> por horizonte. Esta decisión de arquitectura, orientada a la mantenibilidad </w:t>
      </w:r>
      <w:r>
        <w:rPr>
          <w:rFonts w:ascii="Arial" w:hAnsi="Arial" w:cs="Arial"/>
        </w:rPr>
        <w:t>de ISO/IEC 25010 [29], permite cambiar el modelo sin tocar el motor; se verificó al cambiar la fuente de 24 h a las bandas de N-BEATSx de 72 h sin modificar el código del motor.</w:t>
      </w:r>
    </w:p>
    <w:p w14:paraId="52729FAB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Perdomo.</w:t>
      </w:r>
    </w:p>
    <w:p w14:paraId="1264468E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JSON; src/mo</w:t>
      </w:r>
      <w:r>
        <w:rPr>
          <w:rFonts w:ascii="Arial" w:hAnsi="Arial" w:cs="Arial"/>
        </w:rPr>
        <w:t>tor_decision.py; Git y GitHub.</w:t>
      </w:r>
    </w:p>
    <w:p w14:paraId="2BF36A7D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3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10 %.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3448FA07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Diseño de la interfaz del dashboard</w:t>
      </w:r>
    </w:p>
    <w:p w14:paraId="6EACB65B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Se diseñaron primero bocetos editables de tres vistas (Operador, Analista y Sistema) y luego la interfaz en Streaml</w:t>
      </w:r>
      <w:r>
        <w:rPr>
          <w:rFonts w:ascii="Arial" w:hAnsi="Arial" w:cs="Arial"/>
        </w:rPr>
        <w:t xml:space="preserve">it. La vista </w:t>
      </w:r>
      <w:r>
        <w:rPr>
          <w:rFonts w:ascii="Arial" w:hAnsi="Arial" w:cs="Arial"/>
          <w:b/>
        </w:rPr>
        <w:t>Operador</w:t>
      </w:r>
      <w:r>
        <w:rPr>
          <w:rFonts w:ascii="Arial" w:hAnsi="Arial" w:cs="Arial"/>
        </w:rPr>
        <w:t xml:space="preserve"> está pensada para un usuario sin formación en probabilidad: aplica el método elegido por el criterio de estabilidad y muestra, para la hora seleccionada, la acción recomendada, la posición del precio esperado entre los umbrales y un n</w:t>
      </w:r>
      <w:r>
        <w:rPr>
          <w:rFonts w:ascii="Arial" w:hAnsi="Arial" w:cs="Arial"/>
        </w:rPr>
        <w:t xml:space="preserve">ivel de confianza según el ancho de la banda; la hora se elige con un selector o haciendo clic en la franja de 24 horas del día. La vista </w:t>
      </w:r>
      <w:r>
        <w:rPr>
          <w:rFonts w:ascii="Arial" w:hAnsi="Arial" w:cs="Arial"/>
          <w:b/>
        </w:rPr>
        <w:t>Analista</w:t>
      </w:r>
      <w:r>
        <w:rPr>
          <w:rFonts w:ascii="Arial" w:hAnsi="Arial" w:cs="Arial"/>
        </w:rPr>
        <w:t xml:space="preserve"> permite fijar a mano el método y los percentiles, y recalcula el método sugerido para el rango de fechas eleg</w:t>
      </w:r>
      <w:r>
        <w:rPr>
          <w:rFonts w:ascii="Arial" w:hAnsi="Arial" w:cs="Arial"/>
        </w:rPr>
        <w:t>ido.</w:t>
      </w:r>
    </w:p>
    <w:p w14:paraId="72DCBCC3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Perdomo.</w:t>
      </w:r>
    </w:p>
    <w:p w14:paraId="194280D9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Streamlit, Python 3, matplotlib; bocetos en dashboard/mockups.</w:t>
      </w:r>
    </w:p>
    <w:p w14:paraId="2755CFFD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28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15 %.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2218D782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Integración del dashboard con datos y modelos reales</w:t>
      </w:r>
    </w:p>
    <w:p w14:paraId="2E104B5A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El dashboard corre localmente con los pronósticos y bandas de 2026 (Figura 8), y ambas vistas se verificaron sin errores con pruebas automatizadas de Streamlit en las cuatro combinaciones de rol (generad</w:t>
      </w:r>
      <w:r>
        <w:rPr>
          <w:rFonts w:ascii="Arial" w:hAnsi="Arial" w:cs="Arial"/>
        </w:rPr>
        <w:t xml:space="preserve">or y comercializador) y horizonte (24 y 72 h). La actividad está al </w:t>
      </w:r>
      <w:r>
        <w:rPr>
          <w:rFonts w:ascii="Arial" w:hAnsi="Arial" w:cs="Arial"/>
          <w:b/>
        </w:rPr>
        <w:t>50 %</w:t>
      </w:r>
      <w:r>
        <w:rPr>
          <w:rFonts w:ascii="Arial" w:hAnsi="Arial" w:cs="Arial"/>
        </w:rPr>
        <w:t xml:space="preserve">: el motor todavía consume las bandas de N-BEATSx y no el ensamble de seis votantes, y su nivel de confianza aún no considera que el error sube de 41 a 52 COP/kWh cuando el pronóstico </w:t>
      </w:r>
      <w:r>
        <w:rPr>
          <w:rFonts w:ascii="Arial" w:hAnsi="Arial" w:cs="Arial"/>
        </w:rPr>
        <w:t>se lanza a las 23:00 en lugar de a las 00:00.</w:t>
      </w:r>
    </w:p>
    <w:p w14:paraId="42278D38" w14:textId="77777777" w:rsidR="00C92ED1" w:rsidRDefault="004B15A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518DED1" wp14:editId="6628D044">
            <wp:extent cx="3240000" cy="292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dashboard_opera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68CD" w14:textId="77777777" w:rsidR="00C92ED1" w:rsidRDefault="004B15AE">
      <w:pPr>
        <w:spacing w:after="20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Figura 8. Prototipo del dashboard en funcionamiento, vista Operador (5 de agosto de 2026, 08:00 h, rol generador).</w:t>
      </w:r>
    </w:p>
    <w:p w14:paraId="6DFE3093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Perdomo.</w:t>
      </w:r>
    </w:p>
    <w:p w14:paraId="4B9A68C5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Streamlit y su módulo de pruebas automatizadas (AppTest), Python 3; dashboard/app.py.</w:t>
      </w:r>
    </w:p>
    <w:p w14:paraId="7DB23796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14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20 %.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50 %.</w:t>
      </w:r>
    </w:p>
    <w:p w14:paraId="390B7685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Biblioteca de imágenes de apoyo a la decisión</w:t>
      </w:r>
    </w:p>
    <w:p w14:paraId="07CE9E11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El Anexo 1 exige una biblioteca de 4 a 5 tipos de imágenes con sus metadatos (unidad, periodo, confianza y versión del modelo). Hoy exi</w:t>
      </w:r>
      <w:r>
        <w:rPr>
          <w:rFonts w:ascii="Arial" w:hAnsi="Arial" w:cs="Arial"/>
        </w:rPr>
        <w:t>sten prototipos de tres tipos dentro del dashboard y del análisis (semáforo de acción por hora, banda de incertidumbre y comparación real frente a pronóstico, como la Figura 6). Faltan el mapa de calor día-hora, los metadatos normalizados y la validación f</w:t>
      </w:r>
      <w:r>
        <w:rPr>
          <w:rFonts w:ascii="Arial" w:hAnsi="Arial" w:cs="Arial"/>
        </w:rPr>
        <w:t>uncional, por lo que el avance es de 20 % y el grueso se ejecuta en las semanas 13-14 (Sección 5).</w:t>
      </w:r>
    </w:p>
    <w:p w14:paraId="1C92AC2C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 y Juan David Barceló Barraza.</w:t>
      </w:r>
    </w:p>
    <w:p w14:paraId="41E3DE17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matplotlib, Streamlit.</w:t>
      </w:r>
    </w:p>
    <w:p w14:paraId="5DCBE47B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35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Peso en el objetivo:</w:t>
      </w:r>
      <w:r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>5 %.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20 %.</w:t>
      </w:r>
    </w:p>
    <w:p w14:paraId="72093180" w14:textId="77777777" w:rsidR="00210987" w:rsidRPr="00C0027C" w:rsidRDefault="00C0027C" w:rsidP="00C0027C">
      <w:pPr>
        <w:pStyle w:val="Heading2"/>
        <w:ind w:firstLine="284"/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</w:pPr>
      <w:bookmarkStart w:id="7" w:name="_Toc241498807"/>
      <w:r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  <w:t>2.4 Actividades realizadas que contribuyen al logro del objetivo específico 4:</w:t>
      </w:r>
      <w:bookmarkEnd w:id="7"/>
    </w:p>
    <w:p w14:paraId="65BCEE23" w14:textId="77777777" w:rsidR="00C92ED1" w:rsidRDefault="004B15AE">
      <w:pPr>
        <w:spacing w:before="60" w:line="240" w:lineRule="auto"/>
        <w:jc w:val="both"/>
      </w:pPr>
      <w:r>
        <w:rPr>
          <w:rFonts w:ascii="Arial" w:hAnsi="Arial" w:cs="Arial"/>
          <w:i/>
        </w:rPr>
        <w:t>OE4. Validar el funcionamiento del motor para la toma de decisiones.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Avance: 35 %.</w:t>
      </w:r>
    </w:p>
    <w:p w14:paraId="1C08B19F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Backtesting del motor de decisión sobre 2026</w:t>
      </w:r>
    </w:p>
    <w:p w14:paraId="1492F2BC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Se evaluó el motor sobre las 5.184 horas de 2026 con los pronósticos fuera de muestra. La </w:t>
      </w:r>
      <w:r>
        <w:rPr>
          <w:rFonts w:ascii="Arial" w:hAnsi="Arial" w:cs="Arial"/>
          <w:b/>
        </w:rPr>
        <w:t>ventaja</w:t>
      </w:r>
      <w:r>
        <w:rPr>
          <w:rFonts w:ascii="Arial" w:hAnsi="Arial" w:cs="Arial"/>
        </w:rPr>
        <w:t xml:space="preserve"> de un método es la diferencia entre el precio medio del periodo y el de las horas en que recomienda actuar, con e</w:t>
      </w:r>
      <w:r>
        <w:rPr>
          <w:rFonts w:ascii="Arial" w:hAnsi="Arial" w:cs="Arial"/>
        </w:rPr>
        <w:t>l signo del rol (para el generador, cuánto más caro vende; para el comercializador, cuánto más barato compra); el precio medio de 2026 fue 397,9 COP/kWh. Con el criterio de ventaja promedio, «banda» gana en los cuatro casos (345,6, 281,6, 299,7 y 279,5 COP</w:t>
      </w:r>
      <w:r>
        <w:rPr>
          <w:rFonts w:ascii="Arial" w:hAnsi="Arial" w:cs="Arial"/>
        </w:rPr>
        <w:t xml:space="preserve">/kWh). Sin embargo, al evaluar por separado las dos mitades del periodo (corte: 19 de abril), </w:t>
      </w:r>
      <w:r>
        <w:rPr>
          <w:rFonts w:ascii="Arial" w:hAnsi="Arial" w:cs="Arial"/>
        </w:rPr>
        <w:lastRenderedPageBreak/>
        <w:t>ese resultado no se sostiene: para el generador a 24 h, «banda» actúa en el 1,2 % de las horas de la primera mitad y en el 32,6 % de la segunda, y para el comerci</w:t>
      </w:r>
      <w:r>
        <w:rPr>
          <w:rFonts w:ascii="Arial" w:hAnsi="Arial" w:cs="Arial"/>
        </w:rPr>
        <w:t>alizador no actúa en ninguna hora de la segunda mitad (Tabla 8, Figura 9). La causa es la referencia fija: el precio de 2026 se alejó del rango 2019-2025. Con el criterio de estabilidad el motor elige «híbrido» para el generador y «rodante» para el comerci</w:t>
      </w:r>
      <w:r>
        <w:rPr>
          <w:rFonts w:ascii="Arial" w:hAnsi="Arial" w:cs="Arial"/>
        </w:rPr>
        <w:t>alizador en ambos horizontes (Tabla 7), con una ventaja promedio menor (149,9 a 169,6 COP/kWh) pero sostenida en todo el año.</w:t>
      </w:r>
    </w:p>
    <w:p w14:paraId="6476E532" w14:textId="77777777" w:rsidR="00C92ED1" w:rsidRDefault="004B15AE">
      <w:pPr>
        <w:keepNext/>
        <w:spacing w:before="120" w:after="6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Tabla 7. Backtesting del motor sobre 2026: método elegido por el criterio de estabilidad.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4"/>
        <w:gridCol w:w="1879"/>
        <w:gridCol w:w="1291"/>
        <w:gridCol w:w="2466"/>
        <w:gridCol w:w="2584"/>
      </w:tblGrid>
      <w:tr w:rsidR="00C92ED1" w14:paraId="6F7328E4" w14:textId="77777777">
        <w:trPr>
          <w:tblHeader/>
          <w:jc w:val="center"/>
        </w:trPr>
        <w:tc>
          <w:tcPr>
            <w:tcW w:w="117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43934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Horizonte</w:t>
            </w:r>
          </w:p>
        </w:tc>
        <w:tc>
          <w:tcPr>
            <w:tcW w:w="188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758B5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Rol</w:t>
            </w:r>
          </w:p>
        </w:tc>
        <w:tc>
          <w:tcPr>
            <w:tcW w:w="1292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6E86A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Método</w:t>
            </w:r>
          </w:p>
        </w:tc>
        <w:tc>
          <w:tcPr>
            <w:tcW w:w="2467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319C8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Ventaja 1.ª / 2.ª mitad (COP/kWh)</w:t>
            </w:r>
          </w:p>
        </w:tc>
        <w:tc>
          <w:tcPr>
            <w:tcW w:w="258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4F90D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Frecuencia de acción 1.ª / 2.ª mitad</w:t>
            </w:r>
          </w:p>
        </w:tc>
      </w:tr>
      <w:tr w:rsidR="00C92ED1" w14:paraId="1FD7338F" w14:textId="77777777">
        <w:trPr>
          <w:cantSplit/>
          <w:jc w:val="center"/>
        </w:trPr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F4AEE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24 h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E6F2B1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Generador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F9462C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híbrido</w:t>
            </w:r>
          </w:p>
        </w:tc>
        <w:tc>
          <w:tcPr>
            <w:tcW w:w="246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05BF9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78,1 / 183,5</w:t>
            </w:r>
          </w:p>
        </w:tc>
        <w:tc>
          <w:tcPr>
            <w:tcW w:w="258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946AE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16,6 % / 22,3 %</w:t>
            </w:r>
          </w:p>
        </w:tc>
      </w:tr>
      <w:tr w:rsidR="00C92ED1" w14:paraId="3A971FCD" w14:textId="77777777">
        <w:trPr>
          <w:cantSplit/>
          <w:jc w:val="center"/>
        </w:trPr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E1BB9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24 h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E70E29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Comercializador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172776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rodante</w:t>
            </w:r>
          </w:p>
        </w:tc>
        <w:tc>
          <w:tcPr>
            <w:tcW w:w="246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51E1B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82,7 / 248,2</w:t>
            </w:r>
          </w:p>
        </w:tc>
        <w:tc>
          <w:tcPr>
            <w:tcW w:w="258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4CE91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15,1 % / 14,1 %</w:t>
            </w:r>
          </w:p>
        </w:tc>
      </w:tr>
      <w:tr w:rsidR="00C92ED1" w14:paraId="045A18DA" w14:textId="77777777">
        <w:trPr>
          <w:cantSplit/>
          <w:jc w:val="center"/>
        </w:trPr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ABCC7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72 h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CFFEFF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Generador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764996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híbrido</w:t>
            </w:r>
          </w:p>
        </w:tc>
        <w:tc>
          <w:tcPr>
            <w:tcW w:w="246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F1EE3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73,3 / 146,0</w:t>
            </w:r>
          </w:p>
        </w:tc>
        <w:tc>
          <w:tcPr>
            <w:tcW w:w="258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4D5F9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19,1 % / 27,0 %</w:t>
            </w:r>
          </w:p>
        </w:tc>
      </w:tr>
      <w:tr w:rsidR="00C92ED1" w14:paraId="6F6EF652" w14:textId="77777777">
        <w:trPr>
          <w:cantSplit/>
          <w:jc w:val="center"/>
        </w:trPr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781E9E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72 h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3B4873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Comercializador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572E56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rodante</w:t>
            </w:r>
          </w:p>
        </w:tc>
        <w:tc>
          <w:tcPr>
            <w:tcW w:w="2467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994275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71,9 / 219,6</w:t>
            </w:r>
          </w:p>
        </w:tc>
        <w:tc>
          <w:tcPr>
            <w:tcW w:w="258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97323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17,5 % / 14,6 %</w:t>
            </w:r>
          </w:p>
        </w:tc>
      </w:tr>
    </w:tbl>
    <w:p w14:paraId="0EEC8F6B" w14:textId="77777777" w:rsidR="00C92ED1" w:rsidRDefault="00C92ED1">
      <w:pPr>
        <w:spacing w:after="60" w:line="240" w:lineRule="auto"/>
        <w:jc w:val="both"/>
      </w:pPr>
    </w:p>
    <w:p w14:paraId="2446B771" w14:textId="77777777" w:rsidR="00C92ED1" w:rsidRDefault="004B15AE">
      <w:pPr>
        <w:keepNext/>
        <w:spacing w:before="120" w:after="6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Tabla 8. Métodos del motor a 24 h: ventaja del año completo frente a cada mitad del periodo.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4"/>
        <w:gridCol w:w="1070"/>
        <w:gridCol w:w="1070"/>
        <w:gridCol w:w="1130"/>
        <w:gridCol w:w="1665"/>
        <w:gridCol w:w="1784"/>
        <w:gridCol w:w="1011"/>
      </w:tblGrid>
      <w:tr w:rsidR="00C92ED1" w14:paraId="6694158F" w14:textId="77777777">
        <w:trPr>
          <w:tblHeader/>
          <w:jc w:val="center"/>
        </w:trPr>
        <w:tc>
          <w:tcPr>
            <w:tcW w:w="166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F82D0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Rol</w:t>
            </w:r>
          </w:p>
        </w:tc>
        <w:tc>
          <w:tcPr>
            <w:tcW w:w="107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E49AF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Método</w:t>
            </w:r>
          </w:p>
        </w:tc>
        <w:tc>
          <w:tcPr>
            <w:tcW w:w="107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19063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Ventaja año</w:t>
            </w:r>
          </w:p>
        </w:tc>
        <w:tc>
          <w:tcPr>
            <w:tcW w:w="113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11213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Frecuencia año</w:t>
            </w:r>
          </w:p>
        </w:tc>
        <w:tc>
          <w:tcPr>
            <w:tcW w:w="166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33E04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Ventaja 1.ª / 2.ª mitad</w:t>
            </w:r>
          </w:p>
        </w:tc>
        <w:tc>
          <w:tcPr>
            <w:tcW w:w="1784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30889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Frecuencia 1.ª / 2.ª mitad</w:t>
            </w:r>
          </w:p>
        </w:tc>
        <w:tc>
          <w:tcPr>
            <w:tcW w:w="1011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F5FA6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¿Estable?</w:t>
            </w:r>
          </w:p>
        </w:tc>
      </w:tr>
      <w:tr w:rsidR="00C92ED1" w14:paraId="248D604D" w14:textId="77777777">
        <w:trPr>
          <w:cantSplit/>
          <w:jc w:val="center"/>
        </w:trPr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0C0E7A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Generador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943E02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fijo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1B847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313,3</w:t>
            </w:r>
          </w:p>
        </w:tc>
        <w:tc>
          <w:tcPr>
            <w:tcW w:w="11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B62D8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37,6 %</w:t>
            </w:r>
          </w:p>
        </w:tc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FDCC3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305,7 / 125,0</w:t>
            </w:r>
          </w:p>
        </w:tc>
        <w:tc>
          <w:tcPr>
            <w:tcW w:w="178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9045F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2,6 % / 72,5 %</w:t>
            </w:r>
          </w:p>
        </w:tc>
        <w:tc>
          <w:tcPr>
            <w:tcW w:w="101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D871A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no</w:t>
            </w:r>
          </w:p>
        </w:tc>
      </w:tr>
      <w:tr w:rsidR="00C92ED1" w14:paraId="4BBFD93D" w14:textId="77777777">
        <w:trPr>
          <w:cantSplit/>
          <w:jc w:val="center"/>
        </w:trPr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B41FC5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Generador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33B271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rodante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5165C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244,1</w:t>
            </w:r>
          </w:p>
        </w:tc>
        <w:tc>
          <w:tcPr>
            <w:tcW w:w="11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BA5D2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29,4 %</w:t>
            </w:r>
          </w:p>
        </w:tc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93B30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110,8 / 201,2</w:t>
            </w:r>
          </w:p>
        </w:tc>
        <w:tc>
          <w:tcPr>
            <w:tcW w:w="178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47C6B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18,6 % / 40,1 %</w:t>
            </w:r>
          </w:p>
        </w:tc>
        <w:tc>
          <w:tcPr>
            <w:tcW w:w="101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9F5D0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no</w:t>
            </w:r>
          </w:p>
        </w:tc>
      </w:tr>
      <w:tr w:rsidR="00C92ED1" w14:paraId="002846DE" w14:textId="77777777">
        <w:trPr>
          <w:cantSplit/>
          <w:jc w:val="center"/>
        </w:trPr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FDC5E4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Generador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9D6F4E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banda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C3D50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345,6</w:t>
            </w:r>
          </w:p>
        </w:tc>
        <w:tc>
          <w:tcPr>
            <w:tcW w:w="11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CF871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16,9 %</w:t>
            </w:r>
          </w:p>
        </w:tc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7F581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185,7 / 162,5</w:t>
            </w:r>
          </w:p>
        </w:tc>
        <w:tc>
          <w:tcPr>
            <w:tcW w:w="178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648F6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1,2 % / 32,6 %</w:t>
            </w:r>
          </w:p>
        </w:tc>
        <w:tc>
          <w:tcPr>
            <w:tcW w:w="101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DD483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no</w:t>
            </w:r>
          </w:p>
        </w:tc>
      </w:tr>
      <w:tr w:rsidR="00C92ED1" w14:paraId="135ABD58" w14:textId="77777777">
        <w:trPr>
          <w:cantSplit/>
          <w:jc w:val="center"/>
        </w:trPr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3360E2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Generador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187459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híbrido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34760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166,8</w:t>
            </w:r>
          </w:p>
        </w:tc>
        <w:tc>
          <w:tcPr>
            <w:tcW w:w="11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A13333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19,5 %</w:t>
            </w:r>
          </w:p>
        </w:tc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36160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78,1 / 183,5</w:t>
            </w:r>
          </w:p>
        </w:tc>
        <w:tc>
          <w:tcPr>
            <w:tcW w:w="178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F6DC2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16,6 % / 22,3 %</w:t>
            </w:r>
          </w:p>
        </w:tc>
        <w:tc>
          <w:tcPr>
            <w:tcW w:w="101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69DD4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sí</w:t>
            </w:r>
          </w:p>
        </w:tc>
      </w:tr>
      <w:tr w:rsidR="00C92ED1" w14:paraId="110D1161" w14:textId="77777777">
        <w:trPr>
          <w:cantSplit/>
          <w:jc w:val="center"/>
        </w:trPr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1E9690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Comercializador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82D1A0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fijo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B0D39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281,4</w:t>
            </w:r>
          </w:p>
        </w:tc>
        <w:tc>
          <w:tcPr>
            <w:tcW w:w="11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B3553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14,4 %</w:t>
            </w:r>
          </w:p>
        </w:tc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D8689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85,9 / 426,2</w:t>
            </w:r>
          </w:p>
        </w:tc>
        <w:tc>
          <w:tcPr>
            <w:tcW w:w="178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30FAE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28,7 % / 0,1 %</w:t>
            </w:r>
          </w:p>
        </w:tc>
        <w:tc>
          <w:tcPr>
            <w:tcW w:w="101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16B43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no</w:t>
            </w:r>
          </w:p>
        </w:tc>
      </w:tr>
      <w:tr w:rsidR="00C92ED1" w14:paraId="1DAF87F7" w14:textId="77777777">
        <w:trPr>
          <w:cantSplit/>
          <w:jc w:val="center"/>
        </w:trPr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6076D4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Comercializador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BB6C85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rodante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3F0B6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169,6</w:t>
            </w:r>
          </w:p>
        </w:tc>
        <w:tc>
          <w:tcPr>
            <w:tcW w:w="11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A617A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14,6 %</w:t>
            </w:r>
          </w:p>
        </w:tc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E677A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82,7 / 248,2</w:t>
            </w:r>
          </w:p>
        </w:tc>
        <w:tc>
          <w:tcPr>
            <w:tcW w:w="178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89F40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15,1 % / 14,1 %</w:t>
            </w:r>
          </w:p>
        </w:tc>
        <w:tc>
          <w:tcPr>
            <w:tcW w:w="101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646625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sí</w:t>
            </w:r>
          </w:p>
        </w:tc>
      </w:tr>
      <w:tr w:rsidR="00C92ED1" w14:paraId="052A2F63" w14:textId="77777777">
        <w:trPr>
          <w:cantSplit/>
          <w:jc w:val="center"/>
        </w:trPr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FFBF22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Comercializador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54623A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banda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49340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281,6</w:t>
            </w:r>
          </w:p>
        </w:tc>
        <w:tc>
          <w:tcPr>
            <w:tcW w:w="11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5E764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14,3 %</w:t>
            </w:r>
          </w:p>
        </w:tc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EBFAA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85,9 / sin acción</w:t>
            </w:r>
          </w:p>
        </w:tc>
        <w:tc>
          <w:tcPr>
            <w:tcW w:w="178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FC8EE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28,7 % / 0,0 %</w:t>
            </w:r>
          </w:p>
        </w:tc>
        <w:tc>
          <w:tcPr>
            <w:tcW w:w="101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01DA8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no</w:t>
            </w:r>
          </w:p>
        </w:tc>
      </w:tr>
      <w:tr w:rsidR="00C92ED1" w14:paraId="6785C910" w14:textId="77777777">
        <w:trPr>
          <w:cantSplit/>
          <w:jc w:val="center"/>
        </w:trPr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68ACA0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Comercializador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B350CA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híbrido</w:t>
            </w:r>
          </w:p>
        </w:tc>
        <w:tc>
          <w:tcPr>
            <w:tcW w:w="107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2F26F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225,0</w:t>
            </w:r>
          </w:p>
        </w:tc>
        <w:tc>
          <w:tcPr>
            <w:tcW w:w="11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F73D9B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10,8 %</w:t>
            </w:r>
          </w:p>
        </w:tc>
        <w:tc>
          <w:tcPr>
            <w:tcW w:w="16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0335A8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82,7 / 293,9</w:t>
            </w:r>
          </w:p>
        </w:tc>
        <w:tc>
          <w:tcPr>
            <w:tcW w:w="1784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2E396A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15,1 % / 6,4 %</w:t>
            </w:r>
          </w:p>
        </w:tc>
        <w:tc>
          <w:tcPr>
            <w:tcW w:w="101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5D40A4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no</w:t>
            </w:r>
          </w:p>
        </w:tc>
      </w:tr>
    </w:tbl>
    <w:p w14:paraId="127F63D3" w14:textId="77777777" w:rsidR="00C92ED1" w:rsidRDefault="00C92ED1">
      <w:pPr>
        <w:spacing w:after="60" w:line="240" w:lineRule="auto"/>
        <w:jc w:val="both"/>
      </w:pPr>
    </w:p>
    <w:p w14:paraId="3C25568A" w14:textId="77777777" w:rsidR="00C92ED1" w:rsidRDefault="004B15A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6CAA076" wp14:editId="667AADF3">
            <wp:extent cx="4500000" cy="18669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motor_mita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86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D182" w14:textId="77777777" w:rsidR="00C92ED1" w:rsidRDefault="004B15AE">
      <w:pPr>
        <w:spacing w:after="20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Figura 9. Horas con acción del generador a 24 h en cada mitad del periodo 2026, por método. Franja verde: rango válido de 10 a 40 %.</w:t>
      </w:r>
    </w:p>
    <w:p w14:paraId="65F35F36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Se barrieron además seis pares de percentiles (10/90 a 35/65) sin encontrar un óptimo interior: los pares extremos dan más </w:t>
      </w:r>
      <w:r>
        <w:rPr>
          <w:rFonts w:ascii="Arial" w:hAnsi="Arial" w:cs="Arial"/>
        </w:rPr>
        <w:t>ventaja por hora pero actúan menos (433,2 COP/kWh en el 20,8 % de las horas con 10/90, frente a 225,8 en el 49,1 % con 35/65), y 25/75 queda en un punto intermedio. En el último mes evaluado (7 de julio a 5 de agosto de 2026), para un cliente de ejemplo de</w:t>
      </w:r>
      <w:r>
        <w:rPr>
          <w:rFonts w:ascii="Arial" w:hAnsi="Arial" w:cs="Arial"/>
        </w:rPr>
        <w:t xml:space="preserve"> 100 kW que opere a potencia constante en las horas de acción, el método elegido </w:t>
      </w:r>
      <w:r>
        <w:rPr>
          <w:rFonts w:ascii="Arial" w:hAnsi="Arial" w:cs="Arial"/>
        </w:rPr>
        <w:lastRenderedPageBreak/>
        <w:t>para el generador («híbrido») habría significado +1,06 millones de COP, frente a −0,65 millones con «banda» (Figura 10). La traducción a pesos es ilustrativa y no reemplaza un</w:t>
      </w:r>
      <w:r>
        <w:rPr>
          <w:rFonts w:ascii="Arial" w:hAnsi="Arial" w:cs="Arial"/>
        </w:rPr>
        <w:t>a evaluación económica completa [30].</w:t>
      </w:r>
    </w:p>
    <w:p w14:paraId="4498858A" w14:textId="77777777" w:rsidR="00C92ED1" w:rsidRDefault="004B15A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03060" wp14:editId="69FC9855">
            <wp:extent cx="4500000" cy="18669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ganancia_ultimo_m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86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E0B1" w14:textId="77777777" w:rsidR="00C92ED1" w:rsidRDefault="004B15AE">
      <w:pPr>
        <w:spacing w:after="20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Figura 10. Ganancia o pérdida total por método en el último mes (generador, 24 h, cliente de ejemplo de 100 kW).</w:t>
      </w:r>
    </w:p>
    <w:p w14:paraId="2283ACCF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>Las demás actividades de OE4 no se han ejecutado y forman parte del plan de la Sección 5: backtesting sobre los orígenes históricos (peso 15 %)</w:t>
      </w:r>
      <w:r>
        <w:rPr>
          <w:rFonts w:ascii="Arial" w:hAnsi="Arial" w:cs="Arial"/>
        </w:rPr>
        <w:t>, validación con 3 a 5 usuarios (40 %) y documentación de los hallazgos (10 %). Por eso el avance de OE4 es 35 %.</w:t>
      </w:r>
    </w:p>
    <w:p w14:paraId="3089581E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Perdomo.</w:t>
      </w:r>
    </w:p>
    <w:p w14:paraId="2006455A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pandas, matplotlib; notebook 12 y src/motor_decision.py.</w:t>
      </w:r>
    </w:p>
    <w:p w14:paraId="2B9F47FE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7 días.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Pes</w:t>
      </w:r>
      <w:r>
        <w:rPr>
          <w:rFonts w:ascii="Arial" w:hAnsi="Arial" w:cs="Arial"/>
          <w:b/>
        </w:rPr>
        <w:t>o en el objetivo:</w:t>
      </w:r>
      <w:r>
        <w:rPr>
          <w:rFonts w:ascii="Arial" w:hAnsi="Arial" w:cs="Arial"/>
        </w:rPr>
        <w:t xml:space="preserve"> 35 %.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Avance de la actividad:</w:t>
      </w:r>
      <w:r>
        <w:rPr>
          <w:rFonts w:ascii="Arial" w:hAnsi="Arial" w:cs="Arial"/>
        </w:rPr>
        <w:t xml:space="preserve"> 100 %.</w:t>
      </w:r>
    </w:p>
    <w:p w14:paraId="18999AE4" w14:textId="77777777" w:rsidR="00C0027C" w:rsidRDefault="002835BE" w:rsidP="00C0027C">
      <w:pPr>
        <w:pStyle w:val="Heading1"/>
        <w:numPr>
          <w:ilvl w:val="0"/>
          <w:numId w:val="29"/>
        </w:num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8" w:name="_Toc241498808"/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CRONOGRAMA CON CUANTIFICACI</w:t>
      </w:r>
      <w:r w:rsid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Ó</w:t>
      </w: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N PORCENTUAL DE LOGRO EN CADA ETAPA ESTABLECIDA.</w:t>
      </w:r>
      <w:bookmarkEnd w:id="8"/>
    </w:p>
    <w:p w14:paraId="57D7D878" w14:textId="77777777" w:rsidR="00C92ED1" w:rsidRDefault="004B15AE">
      <w:pPr>
        <w:spacing w:before="120" w:after="120" w:line="240" w:lineRule="auto"/>
        <w:jc w:val="both"/>
      </w:pPr>
      <w:r>
        <w:rPr>
          <w:rFonts w:ascii="Arial" w:hAnsi="Arial" w:cs="Arial"/>
        </w:rPr>
        <w:t>La base es el cronograma del Anexo 1 [1]: 36 tareas en seis fases, con la semana 1 iniciando el 27 de julio de 2026. A la fecha de corte (26/09/2026, semana 9) se cuantificó el logro de cada tarea y se comparó con lo que el cronograma preveía para esa fech</w:t>
      </w:r>
      <w:r>
        <w:rPr>
          <w:rFonts w:ascii="Arial" w:hAnsi="Arial" w:cs="Arial"/>
        </w:rPr>
        <w:t xml:space="preserve">a. El porcentaje </w:t>
      </w:r>
      <w:r>
        <w:rPr>
          <w:rFonts w:ascii="Arial" w:hAnsi="Arial" w:cs="Arial"/>
          <w:b/>
        </w:rPr>
        <w:t>planeado</w:t>
      </w:r>
      <w:r>
        <w:rPr>
          <w:rFonts w:ascii="Arial" w:hAnsi="Arial" w:cs="Arial"/>
        </w:rPr>
        <w:t xml:space="preserve"> de una tarea es la fracción de su duración ya transcurrida; el de una fase, el promedio de sus tareas ponderado por duración, igual que el </w:t>
      </w:r>
      <w:r>
        <w:rPr>
          <w:rFonts w:ascii="Arial" w:hAnsi="Arial" w:cs="Arial"/>
          <w:b/>
        </w:rPr>
        <w:t>logrado</w:t>
      </w:r>
      <w:r>
        <w:rPr>
          <w:rFonts w:ascii="Arial" w:hAnsi="Arial" w:cs="Arial"/>
        </w:rPr>
        <w:t xml:space="preserve"> (Tabla 9). La Tabla 10 detalla cada tarea sobre las 16 semanas.</w:t>
      </w:r>
    </w:p>
    <w:p w14:paraId="0E9863EA" w14:textId="77777777" w:rsidR="00C92ED1" w:rsidRDefault="004B15AE">
      <w:pPr>
        <w:keepNext/>
        <w:spacing w:before="120" w:after="6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lastRenderedPageBreak/>
        <w:t xml:space="preserve">Tabla 9. Logro por </w:t>
      </w:r>
      <w:r>
        <w:rPr>
          <w:rFonts w:ascii="Arial" w:hAnsi="Arial" w:cs="Arial"/>
          <w:i/>
          <w:sz w:val="20"/>
          <w:szCs w:val="20"/>
        </w:rPr>
        <w:t>etapa frente a lo planeado a la fecha de corte (26/09/2026).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1"/>
        <w:gridCol w:w="1879"/>
        <w:gridCol w:w="1409"/>
        <w:gridCol w:w="1174"/>
        <w:gridCol w:w="1291"/>
      </w:tblGrid>
      <w:tr w:rsidR="00C92ED1" w14:paraId="429BD64B" w14:textId="77777777">
        <w:trPr>
          <w:tblHeader/>
          <w:jc w:val="center"/>
        </w:trPr>
        <w:tc>
          <w:tcPr>
            <w:tcW w:w="3642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3DC63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Etapa</w:t>
            </w:r>
          </w:p>
        </w:tc>
        <w:tc>
          <w:tcPr>
            <w:tcW w:w="188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E9633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Periodo planeado</w:t>
            </w:r>
          </w:p>
        </w:tc>
        <w:tc>
          <w:tcPr>
            <w:tcW w:w="141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90739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% planeado a la fecha</w:t>
            </w:r>
          </w:p>
        </w:tc>
        <w:tc>
          <w:tcPr>
            <w:tcW w:w="117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AF9204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% logrado</w:t>
            </w:r>
          </w:p>
        </w:tc>
        <w:tc>
          <w:tcPr>
            <w:tcW w:w="1292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8190C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Diferencia</w:t>
            </w:r>
          </w:p>
        </w:tc>
      </w:tr>
      <w:tr w:rsidR="00C92ED1" w14:paraId="33A539A4" w14:textId="77777777">
        <w:trPr>
          <w:cantSplit/>
          <w:jc w:val="center"/>
        </w:trPr>
        <w:tc>
          <w:tcPr>
            <w:tcW w:w="364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78D755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Fase 0 — Formulación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E9BACA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27 jul – 18 ago</w:t>
            </w:r>
          </w:p>
        </w:tc>
        <w:tc>
          <w:tcPr>
            <w:tcW w:w="141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AF81DD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100 %</w:t>
            </w:r>
          </w:p>
        </w:tc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15FB1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100 %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4F5CB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 p.p.</w:t>
            </w:r>
          </w:p>
        </w:tc>
      </w:tr>
      <w:tr w:rsidR="00C92ED1" w14:paraId="50C8A934" w14:textId="77777777">
        <w:trPr>
          <w:cantSplit/>
          <w:jc w:val="center"/>
        </w:trPr>
        <w:tc>
          <w:tcPr>
            <w:tcW w:w="364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A11BE5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Fase 1 — Procesamiento y caracterización (OE1)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B81FC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27 jul – 16 ago</w:t>
            </w:r>
          </w:p>
        </w:tc>
        <w:tc>
          <w:tcPr>
            <w:tcW w:w="141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A8956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100 %</w:t>
            </w:r>
          </w:p>
        </w:tc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783E0C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100 %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F143F3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 p.p.</w:t>
            </w:r>
          </w:p>
        </w:tc>
      </w:tr>
      <w:tr w:rsidR="00C92ED1" w14:paraId="6F45AB5C" w14:textId="77777777">
        <w:trPr>
          <w:cantSplit/>
          <w:jc w:val="center"/>
        </w:trPr>
        <w:tc>
          <w:tcPr>
            <w:tcW w:w="364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100742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Fase 2 — Características y modelado (OE2)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F340E0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17 ago – 30 sep</w:t>
            </w:r>
          </w:p>
        </w:tc>
        <w:tc>
          <w:tcPr>
            <w:tcW w:w="141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0C994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94 %</w:t>
            </w:r>
          </w:p>
        </w:tc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622D8F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82 %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7ABA3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−</w:t>
            </w:r>
            <w:r>
              <w:rPr>
                <w:rFonts w:ascii="Arial" w:hAnsi="Arial" w:cs="Arial"/>
                <w:sz w:val="17"/>
                <w:szCs w:val="17"/>
              </w:rPr>
              <w:t>12 p.p.</w:t>
            </w:r>
          </w:p>
        </w:tc>
      </w:tr>
      <w:tr w:rsidR="00C92ED1" w14:paraId="53CADFF4" w14:textId="77777777">
        <w:trPr>
          <w:cantSplit/>
          <w:jc w:val="center"/>
        </w:trPr>
        <w:tc>
          <w:tcPr>
            <w:tcW w:w="364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CBE626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Fase 3 — Comparación y motor de decisión (OE3)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49383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7 sep – 20 sep</w:t>
            </w:r>
          </w:p>
        </w:tc>
        <w:tc>
          <w:tcPr>
            <w:tcW w:w="141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FE6BD9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100 %</w:t>
            </w:r>
          </w:p>
        </w:tc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7C43D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94 %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42768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−</w:t>
            </w:r>
            <w:r>
              <w:rPr>
                <w:rFonts w:ascii="Arial" w:hAnsi="Arial" w:cs="Arial"/>
                <w:sz w:val="17"/>
                <w:szCs w:val="17"/>
              </w:rPr>
              <w:t>6 p.p.</w:t>
            </w:r>
          </w:p>
        </w:tc>
      </w:tr>
      <w:tr w:rsidR="00C92ED1" w14:paraId="6BC44904" w14:textId="77777777">
        <w:trPr>
          <w:cantSplit/>
          <w:jc w:val="center"/>
        </w:trPr>
        <w:tc>
          <w:tcPr>
            <w:tcW w:w="364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FE8097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Fase 4 — Imágenes de decisión y validación (OE3-OE4)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97D86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17 ago – 4 oct</w:t>
            </w:r>
          </w:p>
        </w:tc>
        <w:tc>
          <w:tcPr>
            <w:tcW w:w="141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54CB91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90 %</w:t>
            </w:r>
          </w:p>
        </w:tc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125AB6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52 %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2EB437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−</w:t>
            </w:r>
            <w:r>
              <w:rPr>
                <w:rFonts w:ascii="Arial" w:hAnsi="Arial" w:cs="Arial"/>
                <w:sz w:val="17"/>
                <w:szCs w:val="17"/>
              </w:rPr>
              <w:t>38 p.p.</w:t>
            </w:r>
          </w:p>
        </w:tc>
      </w:tr>
      <w:tr w:rsidR="00C92ED1" w14:paraId="664FAAD0" w14:textId="77777777">
        <w:trPr>
          <w:cantSplit/>
          <w:jc w:val="center"/>
        </w:trPr>
        <w:tc>
          <w:tcPr>
            <w:tcW w:w="364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3210A4" w14:textId="77777777" w:rsidR="00C92ED1" w:rsidRDefault="004B15AE">
            <w:pPr>
              <w:keepNext/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Fase 5 — Cierre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B55CE2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12 sep – 8 nov</w:t>
            </w:r>
          </w:p>
        </w:tc>
        <w:tc>
          <w:tcPr>
            <w:tcW w:w="141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B94D3B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17 %</w:t>
            </w:r>
          </w:p>
        </w:tc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D47F1E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27 %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1D5B98" w14:textId="77777777" w:rsidR="00C92ED1" w:rsidRDefault="004B15AE">
            <w:pPr>
              <w:keepNext/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+10 p.p.</w:t>
            </w:r>
          </w:p>
        </w:tc>
      </w:tr>
      <w:tr w:rsidR="00C92ED1" w14:paraId="0952BE26" w14:textId="77777777">
        <w:trPr>
          <w:cantSplit/>
          <w:jc w:val="center"/>
        </w:trPr>
        <w:tc>
          <w:tcPr>
            <w:tcW w:w="364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58CA2D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Proyecto completo (ponderado por duración)</w:t>
            </w:r>
          </w:p>
        </w:tc>
        <w:tc>
          <w:tcPr>
            <w:tcW w:w="188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50E74D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27 jul – 8 nov</w:t>
            </w:r>
          </w:p>
        </w:tc>
        <w:tc>
          <w:tcPr>
            <w:tcW w:w="141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C675B4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87 %</w:t>
            </w:r>
          </w:p>
        </w:tc>
        <w:tc>
          <w:tcPr>
            <w:tcW w:w="117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9E3043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77 %</w:t>
            </w:r>
          </w:p>
        </w:tc>
        <w:tc>
          <w:tcPr>
            <w:tcW w:w="1292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AE6B2F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−</w:t>
            </w:r>
            <w:r>
              <w:rPr>
                <w:rFonts w:ascii="Arial" w:hAnsi="Arial" w:cs="Arial"/>
                <w:b/>
                <w:sz w:val="17"/>
                <w:szCs w:val="17"/>
              </w:rPr>
              <w:t>10 p.p.</w:t>
            </w:r>
          </w:p>
        </w:tc>
      </w:tr>
    </w:tbl>
    <w:p w14:paraId="465563A3" w14:textId="77777777" w:rsidR="00C92ED1" w:rsidRDefault="00C92ED1">
      <w:pPr>
        <w:spacing w:after="60" w:line="240" w:lineRule="auto"/>
        <w:jc w:val="both"/>
      </w:pPr>
    </w:p>
    <w:p w14:paraId="54DC4805" w14:textId="77777777" w:rsidR="00C92ED1" w:rsidRDefault="004B15AE">
      <w:pPr>
        <w:keepNext/>
        <w:spacing w:before="120" w:after="60" w:line="240" w:lineRule="auto"/>
        <w:jc w:val="center"/>
      </w:pPr>
      <w:r>
        <w:rPr>
          <w:rFonts w:ascii="Arial" w:hAnsi="Arial" w:cs="Arial"/>
          <w:i/>
          <w:sz w:val="20"/>
          <w:szCs w:val="20"/>
        </w:rPr>
        <w:t>Tabla 10. Cronograma del Anexo 1 con el logro de cada tarea. Barras verdes: tareas terminadas; azul claro: en curso o pendientes; azul oscuro: duración de la fase; columna amarilla: semana actual (9). La semana 1 inicia el 27 de julio de 2026.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2"/>
        <w:gridCol w:w="327"/>
        <w:gridCol w:w="327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784"/>
      </w:tblGrid>
      <w:tr w:rsidR="00C92ED1" w14:paraId="7CA0B6C6" w14:textId="77777777">
        <w:trPr>
          <w:tblHeader/>
          <w:jc w:val="center"/>
        </w:trPr>
        <w:tc>
          <w:tcPr>
            <w:tcW w:w="3390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1C3BF8F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Actividad / </w:t>
            </w:r>
            <w:r>
              <w:rPr>
                <w:rFonts w:ascii="Arial" w:hAnsi="Arial" w:cs="Arial"/>
                <w:b/>
                <w:sz w:val="14"/>
                <w:szCs w:val="14"/>
              </w:rPr>
              <w:t>semana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D989F52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3250CD8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2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F6A7E48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3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37B5266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4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D14B60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5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E98BD88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6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4ABD5B6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7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F326FA6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8</w:t>
            </w: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CF2068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9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BF2217F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10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2FBC9B2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11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075933A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12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9DB837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13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2B0ECE5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14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87D0D79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15</w:t>
            </w:r>
          </w:p>
        </w:tc>
        <w:tc>
          <w:tcPr>
            <w:tcW w:w="326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07A8D3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16</w:t>
            </w:r>
          </w:p>
        </w:tc>
        <w:tc>
          <w:tcPr>
            <w:tcW w:w="784" w:type="dxa"/>
            <w:shd w:val="clear" w:color="auto" w:fill="D9D9D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8890C11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% logro</w:t>
            </w:r>
          </w:p>
        </w:tc>
      </w:tr>
      <w:tr w:rsidR="00C92ED1" w14:paraId="5CE506C4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C90B886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Fase 0 — Formulación</w:t>
            </w: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703CA6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779274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E41E9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3774EB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314A37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9D0014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BCD834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631A15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906838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9F1C45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B060AB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1D5982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A3AADD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82BE83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7799C3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F6BCAF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5565AC6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100 %</w:t>
            </w:r>
          </w:p>
        </w:tc>
      </w:tr>
      <w:tr w:rsidR="00C92ED1" w14:paraId="00940293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94166D1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Definir problema, objetivo y justificación</w:t>
            </w: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D12430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0A355D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520E63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2C559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DBB0F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421040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1A37DC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81C570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243F31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3D2D9F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B0062D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8DCE64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7C6FD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DB70C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282952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6A0D39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2E2C45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47D95FBC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9336C56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Delimitación del proyecto</w:t>
            </w: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4CFFC2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A09527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2AD611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072A29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8D488F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C98681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DDD2E5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946A09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58C499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1EF829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C70B95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B81F43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383177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727BAF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A3BAEC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EACF27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BDEA7D5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3CCD9214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93A8277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Elaboración del cronograma</w:t>
            </w: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4AC00E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5AB402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5C93F1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486E35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5CBAC0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192C62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C8C8E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FD0B7D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52A609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5C9643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17660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EB1192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B1E5FA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7497BB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1CE04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3D586E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1A4DD60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639E6A45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69D9D1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Ruta crítica del proyecto</w:t>
            </w: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8D5E48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0AC81A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4F5E9F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91E42F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8FCAC3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0679EA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23F7E3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8D9A0E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FE9C1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5B777A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75EBD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8E5EE2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7EE0D7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288142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7B032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F34ABD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2B20CB5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7B5934D9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F5FD632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Análisis de riesgo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A9230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B21F8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D7089A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15CF4E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62C0EB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33D89A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AD6993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C0D32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17283B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1350FC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BAB138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D18A11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4E7FB8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2A8D7F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272C10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76310C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E86FB07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6C6F247B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84D6BF5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Fase 1 — Procesamiento y caracterización (OE1)</w:t>
            </w: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D336B0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89E8B6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5575C7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3831DE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81F8E5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DA5AFB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853248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8ADEEB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3AAE25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BA7FA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6C0AF5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9129B5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9DEBF3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15B3E3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46F4AA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C90C89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96CC284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100 %</w:t>
            </w:r>
          </w:p>
        </w:tc>
      </w:tr>
      <w:tr w:rsidR="00C92ED1" w14:paraId="13DF6DD4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ED77D6A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Sincronización de fuentes en dataset maestro horario</w:t>
            </w: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BF339B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CFA75E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F89F6E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AD11F6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3ADBFE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BA8D25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6996AD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A52FF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2D2F5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27D903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613757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38F038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086C74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96DC7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F94582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906E6B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8CD37B9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1707F836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D852BA3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Tratamiento de datos faltantes y atípicos</w:t>
            </w: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8E8134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A39AAB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15739C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502E2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1087EF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FBA4E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9F2A76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D0C368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895211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C23BBA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1E40F3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528F83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C72F2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7687E1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EBB69B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6D468E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C844E6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66747AA1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7C9DC20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Variables indicadoras de pandemia y ONI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60E8D6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7541AE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098483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17200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B3563D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A4530F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B751E9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72482E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EBE497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514E52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A8906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6B82A2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2356A7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6412FD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D52D2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6335B5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B44B8D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77B24897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9160DC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Documentación del preprocesamiento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D3DA0C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04CD4D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E8F30E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652CE5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1C234E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27420D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C1D98C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67BB42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2BA570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A9060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C59F32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1D1A4C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2ABB03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F94688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B7BCE0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79ABB9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61BE87A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2183265C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D97B282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Caracterización temporal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FA7DD3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DDBB4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66767A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7FFE34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EBF1FC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533720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1AA7B1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441078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DCBC97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FDF11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216E50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35D506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DE259D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F9E099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CE3AAD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1D0B8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64F7689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47D5B1E4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F6360ED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Caracterización espectral (periodograma)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28A453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D8DC55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2D77DB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FFE551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B13CA3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14299C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311EE1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E8966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2DE5B9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76C5A7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2D86BD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3ACF4C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D3898C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F4982C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22BC60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45875A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0A728D2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1A3BF9D6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C165B1B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Comparación de filtros (media móvil y Savitzky-Golay)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0B20E8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E3095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5EAE57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F72C8C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18E128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269856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52FC1B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428837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149611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71DE9B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9D280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515F7C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6D04A1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FB738C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30A959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818C30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8FDC358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0DB8AF73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9EC4BAE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Correlaciones precio-hidrología-demanda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92009E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D27FB5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1E31DF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100637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6F4BFE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673859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8D8EF4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609FE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6E35FC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BDDF64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D3D3F2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1ADB5A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01DCD3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257586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BE8416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823387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A3AD2E1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11CC911C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2F7A9D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Fase 2 — Características y modelado (OE2)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57F967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BC9E1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108A5B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3C9393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9A5AD0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3EAE30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514009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B68AA6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95D242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541C37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6F576E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1DED28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C40879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29ED5B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279C53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48FB2D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7CD80A2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82 %</w:t>
            </w:r>
          </w:p>
        </w:tc>
      </w:tr>
      <w:tr w:rsidR="00C92ED1" w14:paraId="7C82A785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FE792DF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Extracción de características compartidas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1FA5B9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C987CF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0FE995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24CC23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C3B99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0B4524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0C5B8B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C4B806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788921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58F3B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88B77C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97E9FC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9C5502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1A058A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F760E3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F0CC82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868188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26522277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B619267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Documento técnico de características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93A414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AE6FBB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A525FE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5373B3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2E7ED0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67CC78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C00A4A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FB8424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D3617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A4E79C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FA3A56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40E65B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76222B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ADB51A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AD9298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819CA3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06ED0EF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257919C0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800E734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Modelos avanzados y de aprendizaje automático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5B283A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C71FF6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C60DD4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B16B19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0A870F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02455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72AE86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421BFE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DCC0BF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7F4A12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ED84B5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ACFE69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4CEAE8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809A82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5842AA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A65C7C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DAEC99B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324061FE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1DD9771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Modelos base de la literatura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07A8D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9E4EAF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E16DBA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DF63C6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A795E5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251EB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418875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C0D9A5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0E6746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40CCF8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83A4F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75CC06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C4DB7A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C8BA77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4A518C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CB3CD1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8CF42BF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353C1460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AFC277C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Validación walk-forward por regímenes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683B48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5B2BD2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510180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577871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587159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54023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3E5F96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89CF2A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816BB0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B11CFC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55C4BF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0DB6B1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CA8572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12542E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852EF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9670A9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10E861E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50 %</w:t>
            </w:r>
          </w:p>
        </w:tc>
      </w:tr>
      <w:tr w:rsidR="00C92ED1" w14:paraId="669ACECA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CE67ACB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Fase 3 — Comparación y motor de decisión (OE3)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101A85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7A50A3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184F72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50A8EF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11ADCD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E95FDE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B3AD87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B90357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60BC7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82B536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12BBAB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5A7A51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B75920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86F667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4B9BF8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4F4E2D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1AF8C01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94 %</w:t>
            </w:r>
          </w:p>
        </w:tc>
      </w:tr>
      <w:tr w:rsidR="00C92ED1" w14:paraId="24E30637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BFBFFB6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Comparación formal frente a persistencia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D8DCB4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3BC145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1646A2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44A18D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A7B77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2351A8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A479AE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80DDB6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6A67EF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C60C7C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7DE050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B73933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BE29AB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F5719A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B7F0E9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45F1C7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FD476EB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763D7129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4723496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Cuantificación de incertidumbre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C5838B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F8445E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07A9A1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A754E6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14E73A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9B8AA0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C5EF9B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29F16B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C37ECB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87FCCD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9E32B9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B0B98D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6F271C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E03AFB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E77EF6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27C43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29F599B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326A00C9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E2B3AA4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Diseño del motor de decisión por umbrales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B756C1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2C05EE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905DF1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14C7C7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E4F34B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FA67B1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0CD121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63D174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0B243A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DB11A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C3FEF9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BD6F36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044CA2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A0D01A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006482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C0BC9A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B42F2D0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4CA52A9B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7ACF617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Backtesting (histórico y ene-ago 2026)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169866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8550FA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246606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0ECDDA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003D2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636500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CA87D4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6DBB04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505EA8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F0253E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75A3E4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C1416D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9BC0E6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E81E51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83E11A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038D26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EED3207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70 %</w:t>
            </w:r>
          </w:p>
        </w:tc>
      </w:tr>
      <w:tr w:rsidR="00C92ED1" w14:paraId="194E46EF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7606402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Informe comparativo de modelos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7E9898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54EC48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9D76FB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8E5FAD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9D6481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C9805E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F27323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DBDD31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57661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F4EA5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BCF890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3C81DC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F2AEBB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CA129C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DCC01B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66ACEA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A85C7CA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1B27A1C9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B03FB4A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Fase 4 — Imágenes de decisión y validación (OE3-OE4)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2CC362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F45475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CF772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1BE29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9D1CF7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111030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4AE654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7156E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41F8F2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9C447C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A01821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E98BF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8AC7A0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BD2F1F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99F8E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BEFBEF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77EEBC4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52 %</w:t>
            </w:r>
          </w:p>
        </w:tc>
      </w:tr>
      <w:tr w:rsidR="00C92ED1" w14:paraId="3A26C40A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765EDB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Diseño de la interfaz del dashboard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A21D24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E8D862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613AA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B13C50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07A656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290DB6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A9D08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A3D3CE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A5759B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41A9B6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BC9706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9EAD88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182294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9759DD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036463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30430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F896E3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6551C2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100 %</w:t>
            </w:r>
          </w:p>
        </w:tc>
      </w:tr>
      <w:tr w:rsidR="00C92ED1" w14:paraId="2859C219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C3B7771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Diseño visual de la biblioteca de imágenes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06212A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725A0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6F46B5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9C7270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82FF38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29E7BA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4FA87F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3DECF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4B86CF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239F4A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46BCD9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6B9E2C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43EDC5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A97D7D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E400B9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A09EB2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8E6F8A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40 %</w:t>
            </w:r>
          </w:p>
        </w:tc>
      </w:tr>
      <w:tr w:rsidR="00C92ED1" w14:paraId="586D78FC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677FF11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Integración del dashboard con datos y modelos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480FBA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344072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3D2F47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EF9C49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EF7874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90DB85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E668E2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F67EA6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09907E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9D1EF0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CAE66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3F5227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E37A8B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8502F8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73C069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4D6943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7000FDD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50 %</w:t>
            </w:r>
          </w:p>
        </w:tc>
      </w:tr>
      <w:tr w:rsidR="00C92ED1" w14:paraId="5F9F3019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AC7445E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Integración de la biblioteca con datos reales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996CEC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8748E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60406D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386CF1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5C3FB5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8E7C8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74CB9F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586E79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36E46F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8A47E4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98CD41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B0501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8FD59F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A707FB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8E0716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56BB27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FAB7473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0 %</w:t>
            </w:r>
          </w:p>
        </w:tc>
      </w:tr>
      <w:tr w:rsidR="00C92ED1" w14:paraId="4F70DACD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905247E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Validación con usuarios (3-5 personas)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555E7D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BAB021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A7BD29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B49F6F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F93557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2428ED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E6FD64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37C56C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41918B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1D5B57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EA05F2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6FB78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DE0BE1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EA32F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0B295D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E2BE82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574DDE1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0 %</w:t>
            </w:r>
          </w:p>
        </w:tc>
      </w:tr>
      <w:tr w:rsidR="00C92ED1" w14:paraId="05049F33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786D10D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Fase 5 — Cierre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A0EACC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006111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3CAD3A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725C8B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F92E13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0D7AE3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D4236C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03CA49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1824FE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F411D9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019630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8F7F0D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DF028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871DFF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2E75B6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3AB0E6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45389C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3D9C918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27 %</w:t>
            </w:r>
          </w:p>
        </w:tc>
      </w:tr>
      <w:tr w:rsidR="00C92ED1" w14:paraId="0D746FEF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5C1636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Ajustes finales y pruebas de reproducibilidad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0CCCF4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C3A04A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8D17DB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7D0C9D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FDC40A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AA2B8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E559FF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5E73F4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37300C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DF27DE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AD5FBE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E2DFB6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5136002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3571DA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019129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CEB07E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F9B8CC5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50 %</w:t>
            </w:r>
          </w:p>
        </w:tc>
      </w:tr>
      <w:tr w:rsidR="00C92ED1" w14:paraId="00D585DC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6F6DBCC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Memoria IEEE, manual técnico y de usuario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75AEEE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68B42C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78D644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64C89B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14B81A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8BAA80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BCD211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77BFFB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B0E19E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7036CA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6C516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B7BDD9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9F0EFC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B2A894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9E1D557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7C2554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54F5DFC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20 %</w:t>
            </w:r>
          </w:p>
        </w:tc>
      </w:tr>
      <w:tr w:rsidR="00C92ED1" w14:paraId="43888005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A7CFF66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Repositorio reproducible ordenado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85EA18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1689E1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5859DE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206FCE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12047C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E6DDFA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8290186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82C49F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61DA1B5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D1599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F6708F1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ECECE8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ED60E1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4E7B4F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8173AE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E3CA164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7084694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50 %</w:t>
            </w:r>
          </w:p>
        </w:tc>
      </w:tr>
      <w:tr w:rsidR="00C92ED1" w14:paraId="646D3B49" w14:textId="77777777">
        <w:trPr>
          <w:cantSplit/>
          <w:jc w:val="center"/>
        </w:trPr>
        <w:tc>
          <w:tcPr>
            <w:tcW w:w="3390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6A41B01" w14:textId="77777777" w:rsidR="00C92ED1" w:rsidRDefault="004B15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Demo final</w:t>
            </w: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0ACD16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0E92BD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C429F8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2EEFD7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57FC9DB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26F8C6E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C6B48CD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AD4CF7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FFE699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126FC5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FAB6ACC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E2D021A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FB69DA0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BC9D878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9824929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shd w:val="clear" w:color="auto" w:fill="BDD7EE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3D945F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6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371B843" w14:textId="77777777" w:rsidR="00C92ED1" w:rsidRDefault="00C92E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CB69B36" w14:textId="77777777" w:rsidR="00C92ED1" w:rsidRDefault="004B15A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0 %</w:t>
            </w:r>
          </w:p>
        </w:tc>
      </w:tr>
    </w:tbl>
    <w:p w14:paraId="4D884319" w14:textId="77777777" w:rsidR="00C92ED1" w:rsidRDefault="00C92ED1">
      <w:pPr>
        <w:spacing w:after="60" w:line="240" w:lineRule="auto"/>
        <w:jc w:val="both"/>
      </w:pPr>
    </w:p>
    <w:p w14:paraId="7F82FF47" w14:textId="77777777" w:rsidR="00C92ED1" w:rsidRDefault="004B15AE">
      <w:pPr>
        <w:spacing w:after="120" w:line="240" w:lineRule="auto"/>
        <w:jc w:val="both"/>
      </w:pPr>
      <w:r>
        <w:rPr>
          <w:rFonts w:ascii="Arial" w:hAnsi="Arial" w:cs="Arial"/>
        </w:rPr>
        <w:t xml:space="preserve">El proyecto va </w:t>
      </w:r>
      <w:r>
        <w:rPr>
          <w:rFonts w:ascii="Arial" w:hAnsi="Arial" w:cs="Arial"/>
          <w:b/>
        </w:rPr>
        <w:t>10 puntos porcentuales por debajo</w:t>
      </w:r>
      <w:r>
        <w:rPr>
          <w:rFonts w:ascii="Arial" w:hAnsi="Arial" w:cs="Arial"/>
        </w:rPr>
        <w:t xml:space="preserve"> de lo planeado a la fecha. Las fases 0, 1 y 3 están prácticamente completas y la Fase 2 superó lo previsto en alcance (seis orígenes en lugar de cinco, 15 familias de modelos y un ensamble que no estaba en el plan), aunque</w:t>
      </w:r>
      <w:r>
        <w:rPr>
          <w:rFonts w:ascii="Arial" w:hAnsi="Arial" w:cs="Arial"/>
        </w:rPr>
        <w:t xml:space="preserve"> la validación walk-forward del ensamble sigue pendiente. El atraso se concentra en la Fase 4: la biblioteca de imágenes y la integración del motor con el ensamble se postergaron para priorizar la corrección de la demanda de agosto de 2026, que obligó a re</w:t>
      </w:r>
      <w:r>
        <w:rPr>
          <w:rFonts w:ascii="Arial" w:hAnsi="Arial" w:cs="Arial"/>
        </w:rPr>
        <w:t>entrenar la cadena completa, y la validación con usuarios (prevista del 29 de septiembre al 4 de octubre) se reprogramó para las semanas 11 y 12. La Fase 5 va adelantada en limpieza del repositorio y en pruebas de reproducibilidad de los notebooks 01 a 03.</w:t>
      </w:r>
      <w:r>
        <w:rPr>
          <w:rFonts w:ascii="Arial" w:hAnsi="Arial" w:cs="Arial"/>
        </w:rPr>
        <w:t xml:space="preserve"> Este porcentaje mide el cronograma ponderando cada tarea por su duración, por eso difiere del 74 % de la Tabla 1, que pondera por objetivos y actividades.</w:t>
      </w:r>
    </w:p>
    <w:p w14:paraId="5F8847E5" w14:textId="77777777" w:rsidR="002B2CD3" w:rsidRDefault="002835BE" w:rsidP="00C0027C">
      <w:pPr>
        <w:pStyle w:val="Heading1"/>
        <w:numPr>
          <w:ilvl w:val="0"/>
          <w:numId w:val="29"/>
        </w:numPr>
        <w:rPr>
          <w:rFonts w:ascii="Arial" w:hAnsi="Arial" w:cs="Arial"/>
          <w:b/>
          <w:color w:val="auto"/>
          <w:sz w:val="22"/>
          <w:szCs w:val="22"/>
        </w:rPr>
      </w:pPr>
      <w:bookmarkStart w:id="9" w:name="_Toc241498809"/>
      <w:r w:rsidRPr="00C0027C">
        <w:rPr>
          <w:rFonts w:ascii="Arial" w:hAnsi="Arial" w:cs="Arial"/>
          <w:b/>
          <w:color w:val="auto"/>
          <w:sz w:val="22"/>
          <w:szCs w:val="22"/>
        </w:rPr>
        <w:t>D</w:t>
      </w:r>
      <w:r w:rsidR="00DA4E00" w:rsidRPr="00C0027C">
        <w:rPr>
          <w:rFonts w:ascii="Arial" w:hAnsi="Arial" w:cs="Arial"/>
          <w:b/>
          <w:color w:val="auto"/>
          <w:sz w:val="22"/>
          <w:szCs w:val="22"/>
        </w:rPr>
        <w:t>IFICULTADES ENCONTRADAS HASTA EL</w:t>
      </w:r>
      <w:r w:rsidRPr="00C0027C">
        <w:rPr>
          <w:rFonts w:ascii="Arial" w:hAnsi="Arial" w:cs="Arial"/>
          <w:b/>
          <w:color w:val="auto"/>
          <w:sz w:val="22"/>
          <w:szCs w:val="22"/>
        </w:rPr>
        <w:t xml:space="preserve"> MOMENTO</w:t>
      </w:r>
      <w:bookmarkEnd w:id="9"/>
    </w:p>
    <w:p w14:paraId="0A3AF4D6" w14:textId="77777777" w:rsidR="00C92ED1" w:rsidRDefault="004B15AE">
      <w:pPr>
        <w:spacing w:before="120" w:after="120" w:line="240" w:lineRule="auto"/>
        <w:jc w:val="both"/>
      </w:pPr>
      <w:r>
        <w:rPr>
          <w:rFonts w:ascii="Arial" w:hAnsi="Arial" w:cs="Arial"/>
        </w:rPr>
        <w:t>Ninguna dificultad ha impedido el avance del proyecto, per</w:t>
      </w:r>
      <w:r>
        <w:rPr>
          <w:rFonts w:ascii="Arial" w:hAnsi="Arial" w:cs="Arial"/>
        </w:rPr>
        <w:t>o varias obligaron a cambiar el enfoque. Se resumen con la solución adoptada:</w:t>
      </w:r>
    </w:p>
    <w:p w14:paraId="12CF64A6" w14:textId="77777777" w:rsidR="00C92ED1" w:rsidRDefault="004B15AE">
      <w:pPr>
        <w:spacing w:after="100" w:line="240" w:lineRule="auto"/>
        <w:ind w:left="284" w:hanging="284"/>
        <w:jc w:val="both"/>
      </w:pPr>
      <w:r>
        <w:rPr>
          <w:rFonts w:ascii="Arial" w:hAnsi="Arial" w:cs="Arial"/>
          <w:b/>
        </w:rPr>
        <w:t>Incompatibilidad de la librería de descarga.</w:t>
      </w:r>
      <w:r>
        <w:rPr>
          <w:rFonts w:ascii="Arial" w:hAnsi="Arial" w:cs="Arial"/>
        </w:rPr>
        <w:t xml:space="preserve"> La librería pydataxm no funcionaba con la versión de pandas del entorno. Se escribió una función propia contra la API REST de XM, que además permite descargar por lotes y reintentar.</w:t>
      </w:r>
    </w:p>
    <w:p w14:paraId="395502E8" w14:textId="77777777" w:rsidR="00C92ED1" w:rsidRDefault="004B15AE">
      <w:pPr>
        <w:spacing w:after="100" w:line="240" w:lineRule="auto"/>
        <w:ind w:left="284" w:hanging="284"/>
        <w:jc w:val="both"/>
      </w:pPr>
      <w:r>
        <w:rPr>
          <w:rFonts w:ascii="Arial" w:hAnsi="Arial" w:cs="Arial"/>
          <w:b/>
        </w:rPr>
        <w:t>Series de resolución distinta y riesgo de fuga de información.</w:t>
      </w:r>
      <w:r>
        <w:rPr>
          <w:rFonts w:ascii="Arial" w:hAnsi="Arial" w:cs="Arial"/>
        </w:rPr>
        <w:t xml:space="preserve"> Unir dato</w:t>
      </w:r>
      <w:r>
        <w:rPr>
          <w:rFonts w:ascii="Arial" w:hAnsi="Arial" w:cs="Arial"/>
        </w:rPr>
        <w:t>s horarios, diarios y mensuales sin usar información futura exigió reglas explícitas: rezago mínimo de 24 h, rampa causal para el ONI y exclusión de las variables que se fijan en el mismo despacho que el precio. Una auditoría sistemática del 18 de septiemb</w:t>
      </w:r>
      <w:r>
        <w:rPr>
          <w:rFonts w:ascii="Arial" w:hAnsi="Arial" w:cs="Arial"/>
        </w:rPr>
        <w:t>re encontró una fuga residual en el ONI, que se cuantificó y resultó sin efecto en los resultados.</w:t>
      </w:r>
    </w:p>
    <w:p w14:paraId="0D5D4684" w14:textId="77777777" w:rsidR="00C92ED1" w:rsidRDefault="004B15AE">
      <w:pPr>
        <w:spacing w:after="100" w:line="240" w:lineRule="auto"/>
        <w:ind w:left="284" w:hanging="284"/>
        <w:jc w:val="both"/>
      </w:pPr>
      <w:r>
        <w:rPr>
          <w:rFonts w:ascii="Arial" w:hAnsi="Arial" w:cs="Arial"/>
          <w:b/>
        </w:rPr>
        <w:t>Los modelos individuales no superan a la persistencia en los años históricos.</w:t>
      </w:r>
      <w:r>
        <w:rPr>
          <w:rFonts w:ascii="Arial" w:hAnsi="Arial" w:cs="Arial"/>
        </w:rPr>
        <w:t xml:space="preserve"> El walk-forward mostró que XGBoost pierde en los seis orígenes y que ningún mod</w:t>
      </w:r>
      <w:r>
        <w:rPr>
          <w:rFonts w:ascii="Arial" w:hAnsi="Arial" w:cs="Arial"/>
        </w:rPr>
        <w:t>elo gana de forma consistente. La respuesta fue un ensamble de familias diversas con pesos por franja horaria, que sí supera a la persistencia con significancia, y dejar explícito que falta evaluarlo en los orígenes históricos.</w:t>
      </w:r>
    </w:p>
    <w:p w14:paraId="4E66ED53" w14:textId="77777777" w:rsidR="00C92ED1" w:rsidRDefault="004B15AE">
      <w:pPr>
        <w:spacing w:after="100" w:line="240" w:lineRule="auto"/>
        <w:ind w:left="284" w:hanging="284"/>
        <w:jc w:val="both"/>
      </w:pPr>
      <w:r>
        <w:rPr>
          <w:rFonts w:ascii="Arial" w:hAnsi="Arial" w:cs="Arial"/>
          <w:b/>
        </w:rPr>
        <w:t>Protocolo del corte de pronó</w:t>
      </w:r>
      <w:r>
        <w:rPr>
          <w:rFonts w:ascii="Arial" w:hAnsi="Arial" w:cs="Arial"/>
          <w:b/>
        </w:rPr>
        <w:t>stico.</w:t>
      </w:r>
      <w:r>
        <w:rPr>
          <w:rFonts w:ascii="Arial" w:hAnsi="Arial" w:cs="Arial"/>
        </w:rPr>
        <w:t xml:space="preserve"> Se detectó que el corte de las 00:00 cae dentro del día de despacho que se pronostica, cuando ya se conoce la primera hora. Con el lanzamiento a las 23:00 el MAE del ensamble sube de 41 a 52 COP/kWh, aún mejor que la persistencia (56,40). Ambas cifr</w:t>
      </w:r>
      <w:r>
        <w:rPr>
          <w:rFonts w:ascii="Arial" w:hAnsi="Arial" w:cs="Arial"/>
        </w:rPr>
        <w:t>as se reportan y el motor deberá ajustar su confianza según la hora de lanzamiento.</w:t>
      </w:r>
    </w:p>
    <w:p w14:paraId="5DAB6BE8" w14:textId="77777777" w:rsidR="00C92ED1" w:rsidRDefault="004B15AE">
      <w:pPr>
        <w:spacing w:after="100" w:line="240" w:lineRule="auto"/>
        <w:ind w:left="284" w:hanging="284"/>
        <w:jc w:val="both"/>
      </w:pPr>
      <w:r>
        <w:rPr>
          <w:rFonts w:ascii="Arial" w:hAnsi="Arial" w:cs="Arial"/>
          <w:b/>
        </w:rPr>
        <w:t>Error en los datos de la fuente.</w:t>
      </w:r>
      <w:r>
        <w:rPr>
          <w:rFonts w:ascii="Arial" w:hAnsi="Arial" w:cs="Arial"/>
        </w:rPr>
        <w:t xml:space="preserve"> La demanda del 4-5 de agosto de 2026 llegó de la fuente entre 70 % y 86 % por debajo de su valor real. Se detectó al reejecutar los notebooks en una copia aislada; se corrigió, se reentrenó todo y el MAPE del ensamble pasó de 10,76 % a 10,49 % en 10 de 10</w:t>
      </w:r>
      <w:r>
        <w:rPr>
          <w:rFonts w:ascii="Arial" w:hAnsi="Arial" w:cs="Arial"/>
        </w:rPr>
        <w:t xml:space="preserve"> particiones.</w:t>
      </w:r>
    </w:p>
    <w:p w14:paraId="14578C8F" w14:textId="77777777" w:rsidR="00C92ED1" w:rsidRDefault="004B15AE">
      <w:pPr>
        <w:spacing w:after="100" w:line="240" w:lineRule="auto"/>
        <w:ind w:left="284" w:hanging="284"/>
        <w:jc w:val="both"/>
      </w:pPr>
      <w:r>
        <w:rPr>
          <w:rFonts w:ascii="Arial" w:hAnsi="Arial" w:cs="Arial"/>
          <w:b/>
        </w:rPr>
        <w:lastRenderedPageBreak/>
        <w:t>El mejor método del motor en promedio no era estable.</w:t>
      </w:r>
      <w:r>
        <w:rPr>
          <w:rFonts w:ascii="Arial" w:hAnsi="Arial" w:cs="Arial"/>
        </w:rPr>
        <w:t xml:space="preserve"> «banda» ganaba la ventaja promedio, pero casi no actuaba en la primera mitad de 2026. Se cambió el criterio de selección a uno de estabilidad (maximin entre mitades), que elige «híbrido» y</w:t>
      </w:r>
      <w:r>
        <w:rPr>
          <w:rFonts w:ascii="Arial" w:hAnsi="Arial" w:cs="Arial"/>
        </w:rPr>
        <w:t xml:space="preserve"> «rodante».</w:t>
      </w:r>
    </w:p>
    <w:p w14:paraId="7DB8054A" w14:textId="77777777" w:rsidR="00C92ED1" w:rsidRDefault="004B15AE">
      <w:pPr>
        <w:spacing w:after="100" w:line="240" w:lineRule="auto"/>
        <w:ind w:left="284" w:hanging="284"/>
        <w:jc w:val="both"/>
      </w:pPr>
      <w:r>
        <w:rPr>
          <w:rFonts w:ascii="Arial" w:hAnsi="Arial" w:cs="Arial"/>
          <w:b/>
        </w:rPr>
        <w:t>Límite de información en los cambios bruscos de precio dentro del día.</w:t>
      </w:r>
      <w:r>
        <w:rPr>
          <w:rFonts w:ascii="Arial" w:hAnsi="Arial" w:cs="Arial"/>
        </w:rPr>
        <w:t xml:space="preserve"> Cuatro métodos de familias distintas para mejorar esas rampas (calibración de amplitud, análisis funcional, compensación de sesgo y selección de ventana por puntos de cambio</w:t>
      </w:r>
      <w:r>
        <w:rPr>
          <w:rFonts w:ascii="Arial" w:hAnsi="Arial" w:cs="Arial"/>
        </w:rPr>
        <w:t>; ver 6.2) no las mejoraron, e incluso conociendo la demanda real el error solo baja entre 3 % y 5 %. Lo que las mueve son las ofertas por planta, que el Anexo 1 deja fuera del alcance; se documentó como límite del proyecto.</w:t>
      </w:r>
    </w:p>
    <w:p w14:paraId="17AFE2B1" w14:textId="77777777" w:rsidR="00C92ED1" w:rsidRDefault="004B15AE">
      <w:pPr>
        <w:spacing w:after="100" w:line="240" w:lineRule="auto"/>
        <w:ind w:left="284" w:hanging="284"/>
        <w:jc w:val="both"/>
      </w:pPr>
      <w:r>
        <w:rPr>
          <w:rFonts w:ascii="Arial" w:hAnsi="Arial" w:cs="Arial"/>
          <w:b/>
        </w:rPr>
        <w:t>Atraso en OE3 y OE4.</w:t>
      </w:r>
      <w:r>
        <w:rPr>
          <w:rFonts w:ascii="Arial" w:hAnsi="Arial" w:cs="Arial"/>
        </w:rPr>
        <w:t xml:space="preserve"> La correcc</w:t>
      </w:r>
      <w:r>
        <w:rPr>
          <w:rFonts w:ascii="Arial" w:hAnsi="Arial" w:cs="Arial"/>
        </w:rPr>
        <w:t>ión de datos y los informes consumieron tiempo de la Fase 4. Se reprogramaron la validación con usuarios y la biblioteca de imágenes (Sección 5) y se priorizó su cierre sobre nuevas pruebas de modelos.</w:t>
      </w:r>
    </w:p>
    <w:p w14:paraId="51986F0D" w14:textId="77777777" w:rsidR="00455699" w:rsidRDefault="00A61167" w:rsidP="00314907">
      <w:pPr>
        <w:pStyle w:val="Heading1"/>
        <w:numPr>
          <w:ilvl w:val="0"/>
          <w:numId w:val="29"/>
        </w:numPr>
        <w:jc w:val="center"/>
        <w:rPr>
          <w:rFonts w:ascii="Arial" w:hAnsi="Arial" w:cs="Arial"/>
          <w:b/>
          <w:color w:val="auto"/>
          <w:sz w:val="22"/>
          <w:szCs w:val="22"/>
        </w:rPr>
      </w:pPr>
      <w:bookmarkStart w:id="10" w:name="_Toc508707059"/>
      <w:bookmarkStart w:id="11" w:name="_Toc241498810"/>
      <w:r w:rsidRPr="002323B6">
        <w:rPr>
          <w:rFonts w:ascii="Arial" w:hAnsi="Arial" w:cs="Arial"/>
          <w:b/>
          <w:color w:val="auto"/>
          <w:sz w:val="22"/>
          <w:szCs w:val="22"/>
        </w:rPr>
        <w:t xml:space="preserve">METODOLOGIA </w:t>
      </w: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Y ACTIVIDADES A REALIZA</w:t>
      </w:r>
      <w:r w:rsidR="00455699"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R</w:t>
      </w: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DURANTE LAS SEMANAS 11 A 16</w:t>
      </w:r>
      <w:bookmarkEnd w:id="10"/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bookmarkStart w:id="12" w:name="_Toc508707086"/>
      <w:bookmarkEnd w:id="11"/>
      <w:r w:rsidR="00D1715F" w:rsidRPr="002323B6">
        <w:rPr>
          <w:rFonts w:ascii="Arial" w:hAnsi="Arial" w:cs="Arial"/>
          <w:b/>
          <w:color w:val="auto"/>
          <w:sz w:val="22"/>
          <w:szCs w:val="22"/>
        </w:rPr>
        <w:t xml:space="preserve"> </w:t>
      </w:r>
    </w:p>
    <w:p w14:paraId="5FE91BE3" w14:textId="77777777" w:rsidR="00C92ED1" w:rsidRDefault="004B15AE">
      <w:pPr>
        <w:spacing w:before="120" w:after="120" w:line="240" w:lineRule="auto"/>
        <w:jc w:val="both"/>
      </w:pPr>
      <w:r>
        <w:rPr>
          <w:rFonts w:ascii="Arial" w:hAnsi="Arial" w:cs="Arial"/>
        </w:rPr>
        <w:t>Las actividades pendientes se ordenaron según su efecto sobre los objetivos y la ruta crítica: primero lo que falta para cerrar OE3 y OE4, que son los objetivos con menor avance, y después el cierre del proyecto.</w:t>
      </w:r>
    </w:p>
    <w:p w14:paraId="0CDFCF53" w14:textId="77777777" w:rsidR="008B2073" w:rsidRDefault="00A4677E" w:rsidP="00C0027C">
      <w:pPr>
        <w:keepNext/>
        <w:rPr>
          <w:rFonts w:ascii="Arial" w:hAnsi="Arial" w:cs="Arial"/>
          <w:b/>
        </w:rPr>
      </w:pPr>
      <w:r>
        <w:rPr>
          <w:rFonts w:ascii="Arial" w:hAnsi="Arial" w:cs="Arial"/>
          <w:b/>
        </w:rPr>
        <w:t>SEMANA 11 - 12 (5 al 18 de octubre):</w:t>
      </w:r>
    </w:p>
    <w:p w14:paraId="0121604C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Validación del dashboard con 3 a 5 usuarios (OE4)</w:t>
      </w:r>
    </w:p>
    <w:p w14:paraId="7877FF79" w14:textId="77777777" w:rsidR="00C92ED1" w:rsidRDefault="004B15AE">
      <w:pPr>
        <w:spacing w:before="40" w:after="120" w:line="240" w:lineRule="auto"/>
        <w:jc w:val="both"/>
      </w:pPr>
      <w:r>
        <w:rPr>
          <w:rFonts w:ascii="Arial" w:hAnsi="Arial" w:cs="Arial"/>
        </w:rPr>
        <w:t>Sesiones con usuarios del mercado o afines en los roles de generador y comercializador. Cada usuario resuelve tareas en la vista Operador y responde un cuestionario de comprensión sobre la acción rec</w:t>
      </w:r>
      <w:r>
        <w:rPr>
          <w:rFonts w:ascii="Arial" w:hAnsi="Arial" w:cs="Arial"/>
        </w:rPr>
        <w:t>omendada, el nivel de confianza y la lectura de la banda de incertidumbre. Se registran el porcentaje de respuestas correctas y los errores de interpretación.</w:t>
      </w:r>
    </w:p>
    <w:p w14:paraId="2E90CA2F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 y Rafael Andrés Dede Perdomo.</w:t>
      </w:r>
    </w:p>
    <w:p w14:paraId="03A92A72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Streamlit, cuestionario en línea, guion de pruebas.</w:t>
      </w:r>
    </w:p>
    <w:p w14:paraId="0BCE01D4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10 días.</w:t>
      </w:r>
    </w:p>
    <w:p w14:paraId="7928CE25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Conexión del motor al ensamble de seis votantes (OE3)</w:t>
      </w:r>
    </w:p>
    <w:p w14:paraId="2D79611F" w14:textId="77777777" w:rsidR="00C92ED1" w:rsidRDefault="004B15AE">
      <w:pPr>
        <w:spacing w:before="40" w:after="120" w:line="240" w:lineRule="auto"/>
        <w:jc w:val="both"/>
      </w:pPr>
      <w:r>
        <w:rPr>
          <w:rFonts w:ascii="Arial" w:hAnsi="Arial" w:cs="Arial"/>
        </w:rPr>
        <w:t>Regenerar el contrato de datos con el ensamble de 24 h y el producto de 72 h, y ajustar el nivel de confianza del motor según la hora de lanzamiento del pronóstico.</w:t>
      </w:r>
    </w:p>
    <w:p w14:paraId="248FA985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 (motor) y Juan David Barceló Barraza (contratos de</w:t>
      </w:r>
      <w:r>
        <w:rPr>
          <w:rFonts w:ascii="Arial" w:hAnsi="Arial" w:cs="Arial"/>
        </w:rPr>
        <w:t>l ensamble).</w:t>
      </w:r>
    </w:p>
    <w:p w14:paraId="36672331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src/motor_decision.py, JSON.</w:t>
      </w:r>
    </w:p>
    <w:p w14:paraId="2DBDDA68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7 días.</w:t>
      </w:r>
    </w:p>
    <w:p w14:paraId="677085D2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Evaluación del ensamble completo en los orígenes históricos 1 a 5 (OE2)</w:t>
      </w:r>
    </w:p>
    <w:p w14:paraId="62CAB269" w14:textId="77777777" w:rsidR="00C92ED1" w:rsidRDefault="004B15AE">
      <w:pPr>
        <w:spacing w:before="40" w:after="120" w:line="240" w:lineRule="auto"/>
        <w:jc w:val="both"/>
      </w:pPr>
      <w:r>
        <w:rPr>
          <w:rFonts w:ascii="Arial" w:hAnsi="Arial" w:cs="Arial"/>
        </w:rPr>
        <w:t>Reentrenar los seis votantes y el combinador en cada origen del walk-forward y aplicar Diebold-Mariano</w:t>
      </w:r>
      <w:r>
        <w:rPr>
          <w:rFonts w:ascii="Arial" w:hAnsi="Arial" w:cs="Arial"/>
        </w:rPr>
        <w:t xml:space="preserve"> frente a la persistencia, para cerrar la validación por regímenes.</w:t>
      </w:r>
    </w:p>
    <w:p w14:paraId="152B6048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Barraza.</w:t>
      </w:r>
    </w:p>
    <w:p w14:paraId="3C19607B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neuralforecast, xgboost, arch, scipy.</w:t>
      </w:r>
    </w:p>
    <w:p w14:paraId="34971C9C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10 días.</w:t>
      </w:r>
    </w:p>
    <w:p w14:paraId="243162EB" w14:textId="77777777" w:rsidR="008B2073" w:rsidRDefault="00A4677E" w:rsidP="00C0027C">
      <w:pPr>
        <w:keepNext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SEMANA 13 - 14 (19 de octubre al 1 de noviembre):</w:t>
      </w:r>
    </w:p>
    <w:p w14:paraId="15AC8779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Biblioteca de 4 a 5 tipos de imágenes de decisión (OE3)</w:t>
      </w:r>
    </w:p>
    <w:p w14:paraId="16D5E5FB" w14:textId="77777777" w:rsidR="00C92ED1" w:rsidRDefault="004B15AE">
      <w:pPr>
        <w:spacing w:before="40" w:after="120" w:line="240" w:lineRule="auto"/>
        <w:jc w:val="both"/>
      </w:pPr>
      <w:r>
        <w:rPr>
          <w:rFonts w:ascii="Arial" w:hAnsi="Arial" w:cs="Arial"/>
        </w:rPr>
        <w:t>Completar el mapa de calor día-hora y normalizar los metadatos (unidad, periodo, confianza y versión del modelo) de las cinco imágenes; integrarlas al dashboard y verificarlas funcionalmente.</w:t>
      </w:r>
    </w:p>
    <w:p w14:paraId="26E48A6E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 y Juan David Barceló Barraza.</w:t>
      </w:r>
    </w:p>
    <w:p w14:paraId="289F52F0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matplotlib, Streamlit.</w:t>
      </w:r>
    </w:p>
    <w:p w14:paraId="033D84C7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10 días.</w:t>
      </w:r>
    </w:p>
    <w:p w14:paraId="6A1B739F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Backtesting histórico del motor y umbrales relativos (OE4 y OE3)</w:t>
      </w:r>
    </w:p>
    <w:p w14:paraId="3A2F96D9" w14:textId="77777777" w:rsidR="00C92ED1" w:rsidRDefault="004B15AE">
      <w:pPr>
        <w:spacing w:before="40" w:after="120" w:line="240" w:lineRule="auto"/>
        <w:jc w:val="both"/>
      </w:pPr>
      <w:r>
        <w:rPr>
          <w:rFonts w:ascii="Arial" w:hAnsi="Arial" w:cs="Arial"/>
        </w:rPr>
        <w:t>Repetir el backtesting en los orígenes 1 a 5 y usar umbr</w:t>
      </w:r>
      <w:r>
        <w:rPr>
          <w:rFonts w:ascii="Arial" w:hAnsi="Arial" w:cs="Arial"/>
        </w:rPr>
        <w:t>ales relativos móviles de 90 días para el régimen hidrológico, ya que en 2026 ninguna hora cae bajo el umbral absoluto de «embalse bajo».</w:t>
      </w:r>
    </w:p>
    <w:p w14:paraId="4EBAC585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Perdomo.</w:t>
      </w:r>
    </w:p>
    <w:p w14:paraId="6E384C1E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 3, pandas, notebook 12.</w:t>
      </w:r>
    </w:p>
    <w:p w14:paraId="00CCFBB6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7 días.</w:t>
      </w:r>
    </w:p>
    <w:p w14:paraId="52E11C4E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Documentación de los hallazgos de la validación (OE4)</w:t>
      </w:r>
    </w:p>
    <w:p w14:paraId="2107B61A" w14:textId="77777777" w:rsidR="00C92ED1" w:rsidRDefault="004B15AE">
      <w:pPr>
        <w:spacing w:before="40" w:after="120" w:line="240" w:lineRule="auto"/>
        <w:jc w:val="both"/>
      </w:pPr>
      <w:r>
        <w:rPr>
          <w:rFonts w:ascii="Arial" w:hAnsi="Arial" w:cs="Arial"/>
        </w:rPr>
        <w:t>Analizar los resultados de las sesiones con usuarios y aplicar los ajustes de interfaz que resulten.</w:t>
      </w:r>
    </w:p>
    <w:p w14:paraId="3FE1D99D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 y Rafael Andrés Dede Perdomo.</w:t>
      </w:r>
    </w:p>
    <w:p w14:paraId="56663187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Streamlit, hoja de cálculo.</w:t>
      </w:r>
    </w:p>
    <w:p w14:paraId="2986EB8D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</w:t>
      </w:r>
      <w:r>
        <w:rPr>
          <w:rFonts w:ascii="Arial" w:hAnsi="Arial" w:cs="Arial"/>
          <w:b/>
        </w:rPr>
        <w:t>mpo:</w:t>
      </w:r>
      <w:r>
        <w:rPr>
          <w:rFonts w:ascii="Arial" w:hAnsi="Arial" w:cs="Arial"/>
        </w:rPr>
        <w:t xml:space="preserve"> 4 días.</w:t>
      </w:r>
    </w:p>
    <w:p w14:paraId="38073C17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Memoria en formato IEEE, manual técnico y manual de usuario (Fase 5)</w:t>
      </w:r>
    </w:p>
    <w:p w14:paraId="08991D38" w14:textId="77777777" w:rsidR="00C92ED1" w:rsidRDefault="004B15AE">
      <w:pPr>
        <w:spacing w:before="40" w:after="120" w:line="240" w:lineRule="auto"/>
        <w:jc w:val="both"/>
      </w:pPr>
      <w:r>
        <w:rPr>
          <w:rFonts w:ascii="Arial" w:hAnsi="Arial" w:cs="Arial"/>
        </w:rPr>
        <w:t>Consolidar la documentación técnica acumulada en la bitácora y en este informe.</w:t>
      </w:r>
    </w:p>
    <w:p w14:paraId="75029F2B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 y Rafael Andrés Dede Perdomo.</w:t>
      </w:r>
    </w:p>
    <w:p w14:paraId="00A12CCF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Word, Python (generación de tablas y figuras), GitHub.</w:t>
      </w:r>
    </w:p>
    <w:p w14:paraId="4240C22A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14 días.</w:t>
      </w:r>
    </w:p>
    <w:p w14:paraId="49658B3E" w14:textId="77777777" w:rsidR="008B2073" w:rsidRDefault="00A4677E" w:rsidP="00C0027C">
      <w:pPr>
        <w:keepNext/>
        <w:rPr>
          <w:rFonts w:ascii="Arial" w:hAnsi="Arial" w:cs="Arial"/>
          <w:b/>
        </w:rPr>
      </w:pPr>
      <w:r>
        <w:rPr>
          <w:rFonts w:ascii="Arial" w:hAnsi="Arial" w:cs="Arial"/>
          <w:b/>
        </w:rPr>
        <w:t>SEMANA 15 - 16 (2 al 15 de noviembre):</w:t>
      </w:r>
    </w:p>
    <w:p w14:paraId="579BA17D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Pruebas de reproducibilidad y repositorio ordenado (Fase 5)</w:t>
      </w:r>
    </w:p>
    <w:p w14:paraId="088F1BB2" w14:textId="77777777" w:rsidR="00C92ED1" w:rsidRDefault="004B15AE">
      <w:pPr>
        <w:spacing w:before="40" w:after="120" w:line="240" w:lineRule="auto"/>
        <w:jc w:val="both"/>
      </w:pPr>
      <w:r>
        <w:rPr>
          <w:rFonts w:ascii="Arial" w:hAnsi="Arial" w:cs="Arial"/>
        </w:rPr>
        <w:t>Reejecutar todos los notebooks en una copia aislada del proyecto y dejar el repositorio con instrucciones de instalación y ejecución.</w:t>
      </w:r>
    </w:p>
    <w:p w14:paraId="752622A0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Barraza.</w:t>
      </w:r>
    </w:p>
    <w:p w14:paraId="530B3F59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Python</w:t>
      </w:r>
      <w:r>
        <w:rPr>
          <w:rFonts w:ascii="Arial" w:hAnsi="Arial" w:cs="Arial"/>
        </w:rPr>
        <w:t xml:space="preserve"> 3, Jupyter, Git y GitHub.</w:t>
      </w:r>
    </w:p>
    <w:p w14:paraId="718A1079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5 días.</w:t>
      </w:r>
    </w:p>
    <w:p w14:paraId="58A6D550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Manual de uso del motor de decisión (entregable de la semana 16)</w:t>
      </w:r>
    </w:p>
    <w:p w14:paraId="13523282" w14:textId="77777777" w:rsidR="00C92ED1" w:rsidRDefault="004B15AE">
      <w:pPr>
        <w:spacing w:before="40" w:after="120" w:line="240" w:lineRule="auto"/>
        <w:jc w:val="both"/>
      </w:pPr>
      <w:r>
        <w:rPr>
          <w:rFonts w:ascii="Arial" w:hAnsi="Arial" w:cs="Arial"/>
        </w:rPr>
        <w:t>Documentar cómo interpretar cada acción, el nivel de confianza y las limitaciones del motor.</w:t>
      </w:r>
    </w:p>
    <w:p w14:paraId="536873E7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Rafael Andrés Dede Perdomo.</w:t>
      </w:r>
    </w:p>
    <w:p w14:paraId="6933341D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Word, capturas del dashboard.</w:t>
      </w:r>
    </w:p>
    <w:p w14:paraId="6C633C83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5 días.</w:t>
      </w:r>
    </w:p>
    <w:p w14:paraId="361550B9" w14:textId="77777777" w:rsidR="00210987" w:rsidRDefault="00C0027C" w:rsidP="00C0027C">
      <w:pPr>
        <w:pStyle w:val="Title"/>
        <w:keepNext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lastRenderedPageBreak/>
        <w:t>Demo, informe final, póster, presentación y video (semana 16)</w:t>
      </w:r>
    </w:p>
    <w:p w14:paraId="6AC688AB" w14:textId="77777777" w:rsidR="00C92ED1" w:rsidRDefault="004B15AE">
      <w:pPr>
        <w:spacing w:before="40" w:after="120" w:line="240" w:lineRule="auto"/>
        <w:jc w:val="both"/>
      </w:pPr>
      <w:r>
        <w:rPr>
          <w:rFonts w:ascii="Arial" w:hAnsi="Arial" w:cs="Arial"/>
        </w:rPr>
        <w:t>Preparar los entregables finales del Anexo 1 y la demostración del sistema completo.</w:t>
      </w:r>
    </w:p>
    <w:p w14:paraId="5D76028D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Responsables:</w:t>
      </w:r>
      <w:r>
        <w:rPr>
          <w:rFonts w:ascii="Arial" w:hAnsi="Arial" w:cs="Arial"/>
        </w:rPr>
        <w:t xml:space="preserve"> Juan David Barceló Barraza y Rafael Andrés Dede </w:t>
      </w:r>
      <w:r>
        <w:rPr>
          <w:rFonts w:ascii="Arial" w:hAnsi="Arial" w:cs="Arial"/>
        </w:rPr>
        <w:t>Perdomo.</w:t>
      </w:r>
    </w:p>
    <w:p w14:paraId="134CD3EF" w14:textId="77777777" w:rsidR="00C92ED1" w:rsidRDefault="004B15AE">
      <w:pPr>
        <w:spacing w:after="0" w:line="240" w:lineRule="auto"/>
      </w:pPr>
      <w:r>
        <w:rPr>
          <w:rFonts w:ascii="Arial" w:hAnsi="Arial" w:cs="Arial"/>
          <w:b/>
        </w:rPr>
        <w:t>Herramientas:</w:t>
      </w:r>
      <w:r>
        <w:rPr>
          <w:rFonts w:ascii="Arial" w:hAnsi="Arial" w:cs="Arial"/>
        </w:rPr>
        <w:t xml:space="preserve"> Word, PowerPoint, Streamlit, editor de video.</w:t>
      </w:r>
    </w:p>
    <w:p w14:paraId="056B4335" w14:textId="77777777" w:rsidR="00C92ED1" w:rsidRDefault="004B15AE">
      <w:pPr>
        <w:tabs>
          <w:tab w:val="left" w:pos="2700"/>
          <w:tab w:val="left" w:pos="5900"/>
        </w:tabs>
        <w:spacing w:after="240" w:line="240" w:lineRule="auto"/>
      </w:pPr>
      <w:r>
        <w:rPr>
          <w:rFonts w:ascii="Arial" w:hAnsi="Arial" w:cs="Arial"/>
          <w:b/>
        </w:rPr>
        <w:t>Tiempo:</w:t>
      </w:r>
      <w:r>
        <w:rPr>
          <w:rFonts w:ascii="Arial" w:hAnsi="Arial" w:cs="Arial"/>
        </w:rPr>
        <w:t xml:space="preserve"> 10 días.</w:t>
      </w:r>
    </w:p>
    <w:p w14:paraId="7EFDF163" w14:textId="77777777" w:rsidR="003B0C1A" w:rsidRDefault="00A61167" w:rsidP="00314907">
      <w:pPr>
        <w:pStyle w:val="Heading1"/>
        <w:numPr>
          <w:ilvl w:val="0"/>
          <w:numId w:val="29"/>
        </w:numPr>
        <w:spacing w:line="240" w:lineRule="auto"/>
        <w:rPr>
          <w:rFonts w:ascii="Arial" w:hAnsi="Arial" w:cs="Arial"/>
          <w:b/>
          <w:color w:val="auto"/>
          <w:sz w:val="22"/>
          <w:szCs w:val="22"/>
        </w:rPr>
      </w:pPr>
      <w:bookmarkStart w:id="13" w:name="_Toc241498811"/>
      <w:r w:rsidRPr="00314907">
        <w:rPr>
          <w:rFonts w:ascii="Arial" w:hAnsi="Arial" w:cs="Arial"/>
          <w:b/>
          <w:color w:val="auto"/>
          <w:sz w:val="22"/>
          <w:szCs w:val="22"/>
        </w:rPr>
        <w:t>REFERENCIAS</w:t>
      </w:r>
      <w:bookmarkEnd w:id="13"/>
      <w:r w:rsidRPr="00314907">
        <w:rPr>
          <w:rFonts w:ascii="Arial" w:hAnsi="Arial" w:cs="Arial"/>
          <w:b/>
          <w:color w:val="auto"/>
          <w:sz w:val="22"/>
          <w:szCs w:val="22"/>
        </w:rPr>
        <w:t xml:space="preserve"> </w:t>
      </w:r>
    </w:p>
    <w:p w14:paraId="6F225873" w14:textId="77777777" w:rsidR="003B0C1A" w:rsidRDefault="003B0C1A" w:rsidP="003B0C1A">
      <w:pPr>
        <w:pStyle w:val="Heading1"/>
        <w:numPr>
          <w:ilvl w:val="1"/>
          <w:numId w:val="29"/>
        </w:numPr>
        <w:spacing w:line="240" w:lineRule="auto"/>
        <w:rPr>
          <w:rFonts w:ascii="Arial" w:hAnsi="Arial" w:cs="Arial"/>
          <w:b/>
          <w:color w:val="auto"/>
          <w:sz w:val="22"/>
          <w:szCs w:val="22"/>
        </w:rPr>
      </w:pPr>
      <w:bookmarkStart w:id="14" w:name="_Toc241498812"/>
      <w:r>
        <w:rPr>
          <w:rFonts w:ascii="Arial" w:hAnsi="Arial" w:cs="Arial"/>
          <w:b/>
          <w:color w:val="auto"/>
          <w:sz w:val="22"/>
          <w:szCs w:val="22"/>
        </w:rPr>
        <w:t>REFERENCIAS EN EL DOCUMENTO</w:t>
      </w:r>
      <w:bookmarkEnd w:id="14"/>
    </w:p>
    <w:p w14:paraId="13A82CCA" w14:textId="77777777" w:rsidR="00C92ED1" w:rsidRDefault="00C92ED1">
      <w:pPr>
        <w:spacing w:after="0" w:line="240" w:lineRule="auto"/>
        <w:jc w:val="both"/>
      </w:pPr>
    </w:p>
    <w:p w14:paraId="35CB0259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[1]</w:t>
      </w:r>
      <w:r>
        <w:rPr>
          <w:rFonts w:ascii="Arial" w:hAnsi="Arial" w:cs="Arial"/>
          <w:sz w:val="20"/>
          <w:szCs w:val="20"/>
        </w:rPr>
        <w:tab/>
        <w:t>J. D. Barceló Barraza y R. A. Dede Perdomo, "Anexo 1 — Formulación del proyecto: Diseño de una plataforma de procesamiento y analítica de datos para el pronóstico del precio de la energía y el apoyo en la toma de decisiones," Depto. de Ingeniería Eléct</w:t>
      </w:r>
      <w:r>
        <w:rPr>
          <w:rFonts w:ascii="Arial" w:hAnsi="Arial" w:cs="Arial"/>
          <w:sz w:val="20"/>
          <w:szCs w:val="20"/>
        </w:rPr>
        <w:t>rica y Electrónica, Universidad del Norte, Barranquilla, Colombia, 2026.</w:t>
      </w:r>
    </w:p>
    <w:p w14:paraId="4825D651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[2]</w:t>
      </w:r>
      <w:r>
        <w:rPr>
          <w:rFonts w:ascii="Arial" w:hAnsi="Arial" w:cs="Arial"/>
          <w:sz w:val="20"/>
          <w:szCs w:val="20"/>
        </w:rPr>
        <w:tab/>
        <w:t xml:space="preserve">F. X. Diebold y R. S. Mariano, "Comparing predictive accuracy," </w:t>
      </w:r>
      <w:r>
        <w:rPr>
          <w:rFonts w:ascii="Arial" w:hAnsi="Arial" w:cs="Arial"/>
          <w:i/>
          <w:sz w:val="20"/>
          <w:szCs w:val="20"/>
        </w:rPr>
        <w:t>J. Bus. Econ. Stat.</w:t>
      </w:r>
      <w:r>
        <w:rPr>
          <w:rFonts w:ascii="Arial" w:hAnsi="Arial" w:cs="Arial"/>
          <w:sz w:val="20"/>
          <w:szCs w:val="20"/>
        </w:rPr>
        <w:t>, vol. 13, no. 3, pp. 253–263, 1995.</w:t>
      </w:r>
    </w:p>
    <w:p w14:paraId="6E9BADED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[3]</w:t>
      </w:r>
      <w:r>
        <w:rPr>
          <w:rFonts w:ascii="Arial" w:hAnsi="Arial" w:cs="Arial"/>
          <w:sz w:val="20"/>
          <w:szCs w:val="20"/>
        </w:rPr>
        <w:tab/>
        <w:t>J. Lago, G. Marcjasz, B. De Schutter y R. Weron, "Forec</w:t>
      </w:r>
      <w:r>
        <w:rPr>
          <w:rFonts w:ascii="Arial" w:hAnsi="Arial" w:cs="Arial"/>
          <w:sz w:val="20"/>
          <w:szCs w:val="20"/>
        </w:rPr>
        <w:t xml:space="preserve">asting day-ahead electricity prices: A review of state-of-the-art algorithms, best practices and an open-access benchmark," </w:t>
      </w:r>
      <w:r>
        <w:rPr>
          <w:rFonts w:ascii="Arial" w:hAnsi="Arial" w:cs="Arial"/>
          <w:i/>
          <w:sz w:val="20"/>
          <w:szCs w:val="20"/>
        </w:rPr>
        <w:t>Appl. Energy</w:t>
      </w:r>
      <w:r>
        <w:rPr>
          <w:rFonts w:ascii="Arial" w:hAnsi="Arial" w:cs="Arial"/>
          <w:sz w:val="20"/>
          <w:szCs w:val="20"/>
        </w:rPr>
        <w:t>, vol. 293, art. 116983, 2021, doi: 10.1016/j.apenergy.2021.116983.</w:t>
      </w:r>
    </w:p>
    <w:p w14:paraId="656C4865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[4]</w:t>
      </w:r>
      <w:r>
        <w:rPr>
          <w:rFonts w:ascii="Arial" w:hAnsi="Arial" w:cs="Arial"/>
          <w:sz w:val="20"/>
          <w:szCs w:val="20"/>
        </w:rPr>
        <w:tab/>
        <w:t>R. Weron, "Electricity price forecasting: A revi</w:t>
      </w:r>
      <w:r>
        <w:rPr>
          <w:rFonts w:ascii="Arial" w:hAnsi="Arial" w:cs="Arial"/>
          <w:sz w:val="20"/>
          <w:szCs w:val="20"/>
        </w:rPr>
        <w:t xml:space="preserve">ew of the state-of-the-art with a look into the future," </w:t>
      </w:r>
      <w:r>
        <w:rPr>
          <w:rFonts w:ascii="Arial" w:hAnsi="Arial" w:cs="Arial"/>
          <w:i/>
          <w:sz w:val="20"/>
          <w:szCs w:val="20"/>
        </w:rPr>
        <w:t>Int. J. Forecast.</w:t>
      </w:r>
      <w:r>
        <w:rPr>
          <w:rFonts w:ascii="Arial" w:hAnsi="Arial" w:cs="Arial"/>
          <w:sz w:val="20"/>
          <w:szCs w:val="20"/>
        </w:rPr>
        <w:t>, vol. 30, no. 4, pp. 1030–1081, 2014.</w:t>
      </w:r>
    </w:p>
    <w:p w14:paraId="062228BB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[5]</w:t>
      </w:r>
      <w:r>
        <w:rPr>
          <w:rFonts w:ascii="Arial" w:hAnsi="Arial" w:cs="Arial"/>
          <w:sz w:val="20"/>
          <w:szCs w:val="20"/>
        </w:rPr>
        <w:tab/>
        <w:t>XM S.A. E.S.P., "API de datos del Sistema de Información del Mercado de Energía Mayorista," servapibi.xm.com.co. Consultado: ago. 2026.</w:t>
      </w:r>
    </w:p>
    <w:p w14:paraId="67813FD5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[6]</w:t>
      </w:r>
      <w:r>
        <w:rPr>
          <w:rFonts w:ascii="Arial" w:hAnsi="Arial" w:cs="Arial"/>
          <w:sz w:val="20"/>
          <w:szCs w:val="20"/>
        </w:rPr>
        <w:tab/>
        <w:t>NOAA Climate Prediction Center, "Cold &amp; Warm Episodes by Season — Oceanic Niño Index (ONI)," cpc.ncep.noaa.gov/products/analysis_monitoring/enso/oni. Consultado: 6-ago-2026.</w:t>
      </w:r>
    </w:p>
    <w:p w14:paraId="647ACD88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[7]</w:t>
      </w:r>
      <w:r>
        <w:rPr>
          <w:rFonts w:ascii="Arial" w:hAnsi="Arial" w:cs="Arial"/>
          <w:sz w:val="20"/>
          <w:szCs w:val="20"/>
        </w:rPr>
        <w:tab/>
        <w:t xml:space="preserve">ISO 8601-1:2019, </w:t>
      </w:r>
      <w:r>
        <w:rPr>
          <w:rFonts w:ascii="Arial" w:hAnsi="Arial" w:cs="Arial"/>
          <w:i/>
          <w:sz w:val="20"/>
          <w:szCs w:val="20"/>
        </w:rPr>
        <w:t xml:space="preserve">Date and time — Representations for information interchange </w:t>
      </w:r>
      <w:r>
        <w:rPr>
          <w:rFonts w:ascii="Arial" w:hAnsi="Arial" w:cs="Arial"/>
          <w:i/>
          <w:sz w:val="20"/>
          <w:szCs w:val="20"/>
        </w:rPr>
        <w:t>— Part 1: Basic rules</w:t>
      </w:r>
      <w:r>
        <w:rPr>
          <w:rFonts w:ascii="Arial" w:hAnsi="Arial" w:cs="Arial"/>
          <w:sz w:val="20"/>
          <w:szCs w:val="20"/>
        </w:rPr>
        <w:t>, International Organization for Standardization, Ginebra, Suiza, 2019.</w:t>
      </w:r>
    </w:p>
    <w:p w14:paraId="562BBD9C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[8]</w:t>
      </w:r>
      <w:r>
        <w:rPr>
          <w:rFonts w:ascii="Arial" w:hAnsi="Arial" w:cs="Arial"/>
          <w:sz w:val="20"/>
          <w:szCs w:val="20"/>
        </w:rPr>
        <w:tab/>
        <w:t xml:space="preserve">A. V. Oppenheim y R. W. Schafer, </w:t>
      </w:r>
      <w:r>
        <w:rPr>
          <w:rFonts w:ascii="Arial" w:hAnsi="Arial" w:cs="Arial"/>
          <w:i/>
          <w:sz w:val="20"/>
          <w:szCs w:val="20"/>
        </w:rPr>
        <w:t>Discrete-Time Signal Processing</w:t>
      </w:r>
      <w:r>
        <w:rPr>
          <w:rFonts w:ascii="Arial" w:hAnsi="Arial" w:cs="Arial"/>
          <w:sz w:val="20"/>
          <w:szCs w:val="20"/>
        </w:rPr>
        <w:t>, 3.ª ed. Upper Saddle River, NJ, EE. UU.: Pearson, 2010.</w:t>
      </w:r>
    </w:p>
    <w:p w14:paraId="6715F664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[9]</w:t>
      </w:r>
      <w:r>
        <w:rPr>
          <w:rFonts w:ascii="Arial" w:hAnsi="Arial" w:cs="Arial"/>
          <w:sz w:val="20"/>
          <w:szCs w:val="20"/>
        </w:rPr>
        <w:tab/>
        <w:t>A. Savitzky y M. J. E. Golay, "Sm</w:t>
      </w:r>
      <w:r>
        <w:rPr>
          <w:rFonts w:ascii="Arial" w:hAnsi="Arial" w:cs="Arial"/>
          <w:sz w:val="20"/>
          <w:szCs w:val="20"/>
        </w:rPr>
        <w:t xml:space="preserve">oothing and differentiation of data by simplified least squares procedures," </w:t>
      </w:r>
      <w:r>
        <w:rPr>
          <w:rFonts w:ascii="Arial" w:hAnsi="Arial" w:cs="Arial"/>
          <w:i/>
          <w:sz w:val="20"/>
          <w:szCs w:val="20"/>
        </w:rPr>
        <w:t>Anal. Chem.</w:t>
      </w:r>
      <w:r>
        <w:rPr>
          <w:rFonts w:ascii="Arial" w:hAnsi="Arial" w:cs="Arial"/>
          <w:sz w:val="20"/>
          <w:szCs w:val="20"/>
        </w:rPr>
        <w:t>, vol. 36, no. 8, pp. 1627–1639, 1964, doi: 10.1021/ac60214a047.</w:t>
      </w:r>
    </w:p>
    <w:p w14:paraId="509A49AC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[10]</w:t>
      </w:r>
      <w:r>
        <w:rPr>
          <w:rFonts w:ascii="Arial" w:hAnsi="Arial" w:cs="Arial"/>
          <w:sz w:val="20"/>
          <w:szCs w:val="20"/>
        </w:rPr>
        <w:tab/>
        <w:t xml:space="preserve">A. Muñoz-Santiago, J. Urquijo-Vanstrahlengs, A. Castro-Otero y J. Lombana, "Pronóstico del precio </w:t>
      </w:r>
      <w:r>
        <w:rPr>
          <w:rFonts w:ascii="Arial" w:hAnsi="Arial" w:cs="Arial"/>
          <w:sz w:val="20"/>
          <w:szCs w:val="20"/>
        </w:rPr>
        <w:t xml:space="preserve">de la energía en Colombia utilizando modelos ARIMA con IGARCH," </w:t>
      </w:r>
      <w:r>
        <w:rPr>
          <w:rFonts w:ascii="Arial" w:hAnsi="Arial" w:cs="Arial"/>
          <w:i/>
          <w:sz w:val="20"/>
          <w:szCs w:val="20"/>
        </w:rPr>
        <w:t>Rev. Econ. Rosario</w:t>
      </w:r>
      <w:r>
        <w:rPr>
          <w:rFonts w:ascii="Arial" w:hAnsi="Arial" w:cs="Arial"/>
          <w:sz w:val="20"/>
          <w:szCs w:val="20"/>
        </w:rPr>
        <w:t>, vol. 20, no. 1, pp. 127–161, 2017, doi: 10.12804/revistas.urosario.edu.co/economia/a.6152.</w:t>
      </w:r>
    </w:p>
    <w:p w14:paraId="4A09222D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[11]</w:t>
      </w:r>
      <w:r>
        <w:rPr>
          <w:rFonts w:ascii="Arial" w:hAnsi="Arial" w:cs="Arial"/>
          <w:sz w:val="20"/>
          <w:szCs w:val="20"/>
        </w:rPr>
        <w:tab/>
        <w:t xml:space="preserve">T. Bollerslev, "Generalized autoregressive conditional heteroskedasticity," </w:t>
      </w:r>
      <w:r>
        <w:rPr>
          <w:rFonts w:ascii="Arial" w:hAnsi="Arial" w:cs="Arial"/>
          <w:i/>
          <w:sz w:val="20"/>
          <w:szCs w:val="20"/>
        </w:rPr>
        <w:t>J. Econometrics</w:t>
      </w:r>
      <w:r>
        <w:rPr>
          <w:rFonts w:ascii="Arial" w:hAnsi="Arial" w:cs="Arial"/>
          <w:sz w:val="20"/>
          <w:szCs w:val="20"/>
        </w:rPr>
        <w:t>, vol. 31, no. 3, pp. 307–327, 1986.</w:t>
      </w:r>
    </w:p>
    <w:p w14:paraId="5B70F841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[12]</w:t>
      </w:r>
      <w:r>
        <w:rPr>
          <w:rFonts w:ascii="Arial" w:hAnsi="Arial" w:cs="Arial"/>
          <w:sz w:val="20"/>
          <w:szCs w:val="20"/>
        </w:rPr>
        <w:tab/>
        <w:t xml:space="preserve">G. Kapoor y N. Wichitaksorn, "Electricity price forecasting in New Zealand: A comparative analysis of statistical and machine learning models with feature selection," </w:t>
      </w:r>
      <w:r>
        <w:rPr>
          <w:rFonts w:ascii="Arial" w:hAnsi="Arial" w:cs="Arial"/>
          <w:i/>
          <w:sz w:val="20"/>
          <w:szCs w:val="20"/>
        </w:rPr>
        <w:t>Appl. Energy</w:t>
      </w:r>
      <w:r>
        <w:rPr>
          <w:rFonts w:ascii="Arial" w:hAnsi="Arial" w:cs="Arial"/>
          <w:sz w:val="20"/>
          <w:szCs w:val="20"/>
        </w:rPr>
        <w:t>, vol. 347, art. 121</w:t>
      </w:r>
      <w:r>
        <w:rPr>
          <w:rFonts w:ascii="Arial" w:hAnsi="Arial" w:cs="Arial"/>
          <w:sz w:val="20"/>
          <w:szCs w:val="20"/>
        </w:rPr>
        <w:t>446, 2023, doi: 10.1016/j.apenergy.2023.121446.</w:t>
      </w:r>
    </w:p>
    <w:p w14:paraId="17F0C2A3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[13]</w:t>
      </w:r>
      <w:r>
        <w:rPr>
          <w:rFonts w:ascii="Arial" w:hAnsi="Arial" w:cs="Arial"/>
          <w:sz w:val="20"/>
          <w:szCs w:val="20"/>
        </w:rPr>
        <w:tab/>
        <w:t xml:space="preserve">R. Tibshirani, "Regression shrinkage and selection via the lasso," </w:t>
      </w:r>
      <w:r>
        <w:rPr>
          <w:rFonts w:ascii="Arial" w:hAnsi="Arial" w:cs="Arial"/>
          <w:i/>
          <w:sz w:val="20"/>
          <w:szCs w:val="20"/>
        </w:rPr>
        <w:t>J. R. Stat. Soc. Ser. B</w:t>
      </w:r>
      <w:r>
        <w:rPr>
          <w:rFonts w:ascii="Arial" w:hAnsi="Arial" w:cs="Arial"/>
          <w:sz w:val="20"/>
          <w:szCs w:val="20"/>
        </w:rPr>
        <w:t>, vol. 58, no. 1, pp. 267–288, 1996.</w:t>
      </w:r>
    </w:p>
    <w:p w14:paraId="0A67A5B5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[14]</w:t>
      </w:r>
      <w:r>
        <w:rPr>
          <w:rFonts w:ascii="Arial" w:hAnsi="Arial" w:cs="Arial"/>
          <w:sz w:val="20"/>
          <w:szCs w:val="20"/>
        </w:rPr>
        <w:tab/>
        <w:t>D. B. Nelson, "Conditional heteroskedasticity in asset returns: A new a</w:t>
      </w:r>
      <w:r>
        <w:rPr>
          <w:rFonts w:ascii="Arial" w:hAnsi="Arial" w:cs="Arial"/>
          <w:sz w:val="20"/>
          <w:szCs w:val="20"/>
        </w:rPr>
        <w:t xml:space="preserve">pproach," </w:t>
      </w:r>
      <w:r>
        <w:rPr>
          <w:rFonts w:ascii="Arial" w:hAnsi="Arial" w:cs="Arial"/>
          <w:i/>
          <w:sz w:val="20"/>
          <w:szCs w:val="20"/>
        </w:rPr>
        <w:t>Econometrica</w:t>
      </w:r>
      <w:r>
        <w:rPr>
          <w:rFonts w:ascii="Arial" w:hAnsi="Arial" w:cs="Arial"/>
          <w:sz w:val="20"/>
          <w:szCs w:val="20"/>
        </w:rPr>
        <w:t>, vol. 59, no. 2, pp. 347–370, 1991.</w:t>
      </w:r>
    </w:p>
    <w:p w14:paraId="454CD6F6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[15]</w:t>
      </w:r>
      <w:r>
        <w:rPr>
          <w:rFonts w:ascii="Arial" w:hAnsi="Arial" w:cs="Arial"/>
          <w:sz w:val="20"/>
          <w:szCs w:val="20"/>
        </w:rPr>
        <w:tab/>
        <w:t xml:space="preserve">S. J. Taylor y B. Letham, "Forecasting at scale," </w:t>
      </w:r>
      <w:r>
        <w:rPr>
          <w:rFonts w:ascii="Arial" w:hAnsi="Arial" w:cs="Arial"/>
          <w:i/>
          <w:sz w:val="20"/>
          <w:szCs w:val="20"/>
        </w:rPr>
        <w:t>Am. Stat.</w:t>
      </w:r>
      <w:r>
        <w:rPr>
          <w:rFonts w:ascii="Arial" w:hAnsi="Arial" w:cs="Arial"/>
          <w:sz w:val="20"/>
          <w:szCs w:val="20"/>
        </w:rPr>
        <w:t>, vol. 72, no. 1, pp. 37–45, 2018.</w:t>
      </w:r>
    </w:p>
    <w:p w14:paraId="2FDF7CC6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lastRenderedPageBreak/>
        <w:t>[16]</w:t>
      </w:r>
      <w:r>
        <w:rPr>
          <w:rFonts w:ascii="Arial" w:hAnsi="Arial" w:cs="Arial"/>
          <w:sz w:val="20"/>
          <w:szCs w:val="20"/>
        </w:rPr>
        <w:tab/>
        <w:t xml:space="preserve">T. Chen y C. Guestrin, "XGBoost: A scalable tree boosting system," en </w:t>
      </w:r>
      <w:r>
        <w:rPr>
          <w:rFonts w:ascii="Arial" w:hAnsi="Arial" w:cs="Arial"/>
          <w:i/>
          <w:sz w:val="20"/>
          <w:szCs w:val="20"/>
        </w:rPr>
        <w:t>Proc. 22nd ACM SIGKDD I</w:t>
      </w:r>
      <w:r>
        <w:rPr>
          <w:rFonts w:ascii="Arial" w:hAnsi="Arial" w:cs="Arial"/>
          <w:i/>
          <w:sz w:val="20"/>
          <w:szCs w:val="20"/>
        </w:rPr>
        <w:t>nt. Conf. Knowl. Discov. Data Min.</w:t>
      </w:r>
      <w:r>
        <w:rPr>
          <w:rFonts w:ascii="Arial" w:hAnsi="Arial" w:cs="Arial"/>
          <w:sz w:val="20"/>
          <w:szCs w:val="20"/>
        </w:rPr>
        <w:t>, San Francisco, CA, EE. UU., 2016, pp. 785–794.</w:t>
      </w:r>
    </w:p>
    <w:p w14:paraId="2BC296DE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[17]</w:t>
      </w:r>
      <w:r>
        <w:rPr>
          <w:rFonts w:ascii="Arial" w:hAnsi="Arial" w:cs="Arial"/>
          <w:sz w:val="20"/>
          <w:szCs w:val="20"/>
        </w:rPr>
        <w:tab/>
        <w:t xml:space="preserve">K. G. Olivares, C. Challu, G. Marcjasz, R. Weron y A. Dubrawski, "Neural basis expansion analysis with exogenous variables: Forecasting electricity prices with NBEATSx," </w:t>
      </w:r>
      <w:r>
        <w:rPr>
          <w:rFonts w:ascii="Arial" w:hAnsi="Arial" w:cs="Arial"/>
          <w:i/>
          <w:sz w:val="20"/>
          <w:szCs w:val="20"/>
        </w:rPr>
        <w:t>Int. J. Forecast.</w:t>
      </w:r>
      <w:r>
        <w:rPr>
          <w:rFonts w:ascii="Arial" w:hAnsi="Arial" w:cs="Arial"/>
          <w:sz w:val="20"/>
          <w:szCs w:val="20"/>
        </w:rPr>
        <w:t>, vol. 39, no. 2, pp. 884–900, 2023, doi: 10.1016/j.ijforecast.2</w:t>
      </w:r>
      <w:r>
        <w:rPr>
          <w:rFonts w:ascii="Arial" w:hAnsi="Arial" w:cs="Arial"/>
          <w:sz w:val="20"/>
          <w:szCs w:val="20"/>
        </w:rPr>
        <w:t>022.03.001.</w:t>
      </w:r>
    </w:p>
    <w:p w14:paraId="63227B71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[18]</w:t>
      </w:r>
      <w:r>
        <w:rPr>
          <w:rFonts w:ascii="Arial" w:hAnsi="Arial" w:cs="Arial"/>
          <w:sz w:val="20"/>
          <w:szCs w:val="20"/>
        </w:rPr>
        <w:tab/>
        <w:t xml:space="preserve">C. Challu, K. G. Olivares, B. N. Oreshkin, F. Garza Ramírez, M. Mergenthaler Canseco y A. Dubrawski, "NHITS: Neural hierarchical interpolation for time series forecasting," en </w:t>
      </w:r>
      <w:r>
        <w:rPr>
          <w:rFonts w:ascii="Arial" w:hAnsi="Arial" w:cs="Arial"/>
          <w:i/>
          <w:sz w:val="20"/>
          <w:szCs w:val="20"/>
        </w:rPr>
        <w:t>Proc. AAAI Conf. Artif. Intell.</w:t>
      </w:r>
      <w:r>
        <w:rPr>
          <w:rFonts w:ascii="Arial" w:hAnsi="Arial" w:cs="Arial"/>
          <w:sz w:val="20"/>
          <w:szCs w:val="20"/>
        </w:rPr>
        <w:t>, vol. 37, no. 6, 2023, pp. 6989</w:t>
      </w:r>
      <w:r>
        <w:rPr>
          <w:rFonts w:ascii="Arial" w:hAnsi="Arial" w:cs="Arial"/>
          <w:sz w:val="20"/>
          <w:szCs w:val="20"/>
        </w:rPr>
        <w:t>–6997, doi: 10.1609/aaai.v37i6.25854.</w:t>
      </w:r>
    </w:p>
    <w:p w14:paraId="3CE6921D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[19]</w:t>
      </w:r>
      <w:r>
        <w:rPr>
          <w:rFonts w:ascii="Arial" w:hAnsi="Arial" w:cs="Arial"/>
          <w:sz w:val="20"/>
          <w:szCs w:val="20"/>
        </w:rPr>
        <w:tab/>
        <w:t xml:space="preserve">L. J. Tashman, "Out-of-sample tests of forecasting accuracy: An analysis and review," </w:t>
      </w:r>
      <w:r>
        <w:rPr>
          <w:rFonts w:ascii="Arial" w:hAnsi="Arial" w:cs="Arial"/>
          <w:i/>
          <w:sz w:val="20"/>
          <w:szCs w:val="20"/>
        </w:rPr>
        <w:t>Int. J. Forecast.</w:t>
      </w:r>
      <w:r>
        <w:rPr>
          <w:rFonts w:ascii="Arial" w:hAnsi="Arial" w:cs="Arial"/>
          <w:sz w:val="20"/>
          <w:szCs w:val="20"/>
        </w:rPr>
        <w:t>, vol. 16, no. 4, pp. 437–450, 2000, doi: 10.1016/S0169-2070(00)00065-0.</w:t>
      </w:r>
    </w:p>
    <w:p w14:paraId="74804A3C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[20]</w:t>
      </w:r>
      <w:r>
        <w:rPr>
          <w:rFonts w:ascii="Arial" w:hAnsi="Arial" w:cs="Arial"/>
          <w:sz w:val="20"/>
          <w:szCs w:val="20"/>
        </w:rPr>
        <w:tab/>
        <w:t>J. Nowotarski y R. Weron, "Compu</w:t>
      </w:r>
      <w:r>
        <w:rPr>
          <w:rFonts w:ascii="Arial" w:hAnsi="Arial" w:cs="Arial"/>
          <w:sz w:val="20"/>
          <w:szCs w:val="20"/>
        </w:rPr>
        <w:t xml:space="preserve">ting electricity spot price prediction intervals using quantile regression and forecast averaging," </w:t>
      </w:r>
      <w:r>
        <w:rPr>
          <w:rFonts w:ascii="Arial" w:hAnsi="Arial" w:cs="Arial"/>
          <w:i/>
          <w:sz w:val="20"/>
          <w:szCs w:val="20"/>
        </w:rPr>
        <w:t>Comput. Stat.</w:t>
      </w:r>
      <w:r>
        <w:rPr>
          <w:rFonts w:ascii="Arial" w:hAnsi="Arial" w:cs="Arial"/>
          <w:sz w:val="20"/>
          <w:szCs w:val="20"/>
        </w:rPr>
        <w:t>, vol. 30, no. 3, pp. 791–803, 2015, doi: 10.1007/s00180-014-0523-0.</w:t>
      </w:r>
    </w:p>
    <w:p w14:paraId="78ACC89E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[21]</w:t>
      </w:r>
      <w:r>
        <w:rPr>
          <w:rFonts w:ascii="Arial" w:hAnsi="Arial" w:cs="Arial"/>
          <w:sz w:val="20"/>
          <w:szCs w:val="20"/>
        </w:rPr>
        <w:tab/>
        <w:t xml:space="preserve">Y. Romano, E. Patterson y E. Candès, "Conformalized quantile regression," en </w:t>
      </w:r>
      <w:r>
        <w:rPr>
          <w:rFonts w:ascii="Arial" w:hAnsi="Arial" w:cs="Arial"/>
          <w:i/>
          <w:sz w:val="20"/>
          <w:szCs w:val="20"/>
        </w:rPr>
        <w:t>Adv. Neural Inf. Process. Syst. 32 (NeurIPS 2019)</w:t>
      </w:r>
      <w:r>
        <w:rPr>
          <w:rFonts w:ascii="Arial" w:hAnsi="Arial" w:cs="Arial"/>
          <w:sz w:val="20"/>
          <w:szCs w:val="20"/>
        </w:rPr>
        <w:t>, Vancouver, Canadá, 2019.</w:t>
      </w:r>
    </w:p>
    <w:p w14:paraId="17995A19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[22]</w:t>
      </w:r>
      <w:r>
        <w:rPr>
          <w:rFonts w:ascii="Arial" w:hAnsi="Arial" w:cs="Arial"/>
          <w:sz w:val="20"/>
          <w:szCs w:val="20"/>
        </w:rPr>
        <w:tab/>
        <w:t xml:space="preserve">I. Gibbs y E. Candès, "Adaptive conformal inference under distribution shift," en </w:t>
      </w:r>
      <w:r>
        <w:rPr>
          <w:rFonts w:ascii="Arial" w:hAnsi="Arial" w:cs="Arial"/>
          <w:i/>
          <w:sz w:val="20"/>
          <w:szCs w:val="20"/>
        </w:rPr>
        <w:t>Adv. Neural</w:t>
      </w:r>
      <w:r>
        <w:rPr>
          <w:rFonts w:ascii="Arial" w:hAnsi="Arial" w:cs="Arial"/>
          <w:i/>
          <w:sz w:val="20"/>
          <w:szCs w:val="20"/>
        </w:rPr>
        <w:t xml:space="preserve"> Inf. Process. Syst. 34 (NeurIPS 2021)</w:t>
      </w:r>
      <w:r>
        <w:rPr>
          <w:rFonts w:ascii="Arial" w:hAnsi="Arial" w:cs="Arial"/>
          <w:sz w:val="20"/>
          <w:szCs w:val="20"/>
        </w:rPr>
        <w:t>, 2021.</w:t>
      </w:r>
    </w:p>
    <w:p w14:paraId="71223EEE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[23]</w:t>
      </w:r>
      <w:r>
        <w:rPr>
          <w:rFonts w:ascii="Arial" w:hAnsi="Arial" w:cs="Arial"/>
          <w:sz w:val="20"/>
          <w:szCs w:val="20"/>
        </w:rPr>
        <w:tab/>
        <w:t xml:space="preserve">R. J. Hyndman y A. B. Koehler, "Another look at measures of forecast accuracy," </w:t>
      </w:r>
      <w:r>
        <w:rPr>
          <w:rFonts w:ascii="Arial" w:hAnsi="Arial" w:cs="Arial"/>
          <w:i/>
          <w:sz w:val="20"/>
          <w:szCs w:val="20"/>
        </w:rPr>
        <w:t>Int. J. Forecast.</w:t>
      </w:r>
      <w:r>
        <w:rPr>
          <w:rFonts w:ascii="Arial" w:hAnsi="Arial" w:cs="Arial"/>
          <w:sz w:val="20"/>
          <w:szCs w:val="20"/>
        </w:rPr>
        <w:t>, vol. 22, no. 4, pp. 679–688, 2006, doi: 10.1016/j.ijforecast.2006.03.001.</w:t>
      </w:r>
    </w:p>
    <w:p w14:paraId="49D52619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[24]</w:t>
      </w:r>
      <w:r>
        <w:rPr>
          <w:rFonts w:ascii="Arial" w:hAnsi="Arial" w:cs="Arial"/>
          <w:sz w:val="20"/>
          <w:szCs w:val="20"/>
        </w:rPr>
        <w:tab/>
        <w:t>W. K. Newey y K. D. West, "</w:t>
      </w:r>
      <w:r>
        <w:rPr>
          <w:rFonts w:ascii="Arial" w:hAnsi="Arial" w:cs="Arial"/>
          <w:sz w:val="20"/>
          <w:szCs w:val="20"/>
        </w:rPr>
        <w:t xml:space="preserve">A simple, positive semi-definite, heteroskedasticity and autocorrelation consistent covariance matrix," </w:t>
      </w:r>
      <w:r>
        <w:rPr>
          <w:rFonts w:ascii="Arial" w:hAnsi="Arial" w:cs="Arial"/>
          <w:i/>
          <w:sz w:val="20"/>
          <w:szCs w:val="20"/>
        </w:rPr>
        <w:t>Econometrica</w:t>
      </w:r>
      <w:r>
        <w:rPr>
          <w:rFonts w:ascii="Arial" w:hAnsi="Arial" w:cs="Arial"/>
          <w:sz w:val="20"/>
          <w:szCs w:val="20"/>
        </w:rPr>
        <w:t>, vol. 55, no. 3, pp. 703–708, 1987, doi: 10.2307/1913610.</w:t>
      </w:r>
    </w:p>
    <w:p w14:paraId="11236DD1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[25]</w:t>
      </w:r>
      <w:r>
        <w:rPr>
          <w:rFonts w:ascii="Arial" w:hAnsi="Arial" w:cs="Arial"/>
          <w:sz w:val="20"/>
          <w:szCs w:val="20"/>
        </w:rPr>
        <w:tab/>
        <w:t>S. M. Lundberg y S.-I. Lee, "A unified approach to interpreting model predic</w:t>
      </w:r>
      <w:r>
        <w:rPr>
          <w:rFonts w:ascii="Arial" w:hAnsi="Arial" w:cs="Arial"/>
          <w:sz w:val="20"/>
          <w:szCs w:val="20"/>
        </w:rPr>
        <w:t xml:space="preserve">tions," en </w:t>
      </w:r>
      <w:r>
        <w:rPr>
          <w:rFonts w:ascii="Arial" w:hAnsi="Arial" w:cs="Arial"/>
          <w:i/>
          <w:sz w:val="20"/>
          <w:szCs w:val="20"/>
        </w:rPr>
        <w:t>Adv. Neural Inf. Process. Syst. 30 (NIPS 2017)</w:t>
      </w:r>
      <w:r>
        <w:rPr>
          <w:rFonts w:ascii="Arial" w:hAnsi="Arial" w:cs="Arial"/>
          <w:sz w:val="20"/>
          <w:szCs w:val="20"/>
        </w:rPr>
        <w:t>, Long Beach, CA, EE. UU., 2017.</w:t>
      </w:r>
    </w:p>
    <w:p w14:paraId="1738B183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[26]</w:t>
      </w:r>
      <w:r>
        <w:rPr>
          <w:rFonts w:ascii="Arial" w:hAnsi="Arial" w:cs="Arial"/>
          <w:sz w:val="20"/>
          <w:szCs w:val="20"/>
        </w:rPr>
        <w:tab/>
        <w:t xml:space="preserve">J. W. Tukey, </w:t>
      </w:r>
      <w:r>
        <w:rPr>
          <w:rFonts w:ascii="Arial" w:hAnsi="Arial" w:cs="Arial"/>
          <w:i/>
          <w:sz w:val="20"/>
          <w:szCs w:val="20"/>
        </w:rPr>
        <w:t>Exploratory Data Analysis</w:t>
      </w:r>
      <w:r>
        <w:rPr>
          <w:rFonts w:ascii="Arial" w:hAnsi="Arial" w:cs="Arial"/>
          <w:sz w:val="20"/>
          <w:szCs w:val="20"/>
        </w:rPr>
        <w:t>. Reading, MA, EE. UU.: Addison-Wesley, 1977.</w:t>
      </w:r>
    </w:p>
    <w:p w14:paraId="74FEA61C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[27]</w:t>
      </w:r>
      <w:r>
        <w:rPr>
          <w:rFonts w:ascii="Arial" w:hAnsi="Arial" w:cs="Arial"/>
          <w:sz w:val="20"/>
          <w:szCs w:val="20"/>
        </w:rPr>
        <w:tab/>
        <w:t>J. Gama, I. Žliobaitė, A. Bifet, M. Pechenizkiy y A. Bouchachia, "A surv</w:t>
      </w:r>
      <w:r>
        <w:rPr>
          <w:rFonts w:ascii="Arial" w:hAnsi="Arial" w:cs="Arial"/>
          <w:sz w:val="20"/>
          <w:szCs w:val="20"/>
        </w:rPr>
        <w:t xml:space="preserve">ey on concept drift adaptation," </w:t>
      </w:r>
      <w:r>
        <w:rPr>
          <w:rFonts w:ascii="Arial" w:hAnsi="Arial" w:cs="Arial"/>
          <w:i/>
          <w:sz w:val="20"/>
          <w:szCs w:val="20"/>
        </w:rPr>
        <w:t>ACM Comput. Surv.</w:t>
      </w:r>
      <w:r>
        <w:rPr>
          <w:rFonts w:ascii="Arial" w:hAnsi="Arial" w:cs="Arial"/>
          <w:sz w:val="20"/>
          <w:szCs w:val="20"/>
        </w:rPr>
        <w:t>, vol. 46, no. 4, art. 44, 2014, doi: 10.1145/2523813.</w:t>
      </w:r>
    </w:p>
    <w:p w14:paraId="683770DD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[28]</w:t>
      </w:r>
      <w:r>
        <w:rPr>
          <w:rFonts w:ascii="Arial" w:hAnsi="Arial" w:cs="Arial"/>
          <w:sz w:val="20"/>
          <w:szCs w:val="20"/>
        </w:rPr>
        <w:tab/>
        <w:t xml:space="preserve">A. Wald, </w:t>
      </w:r>
      <w:r>
        <w:rPr>
          <w:rFonts w:ascii="Arial" w:hAnsi="Arial" w:cs="Arial"/>
          <w:i/>
          <w:sz w:val="20"/>
          <w:szCs w:val="20"/>
        </w:rPr>
        <w:t>Statistical Decision Functions</w:t>
      </w:r>
      <w:r>
        <w:rPr>
          <w:rFonts w:ascii="Arial" w:hAnsi="Arial" w:cs="Arial"/>
          <w:sz w:val="20"/>
          <w:szCs w:val="20"/>
        </w:rPr>
        <w:t>. Nueva York, NY, EE. UU.: Wiley, 1950.</w:t>
      </w:r>
    </w:p>
    <w:p w14:paraId="31F1AF52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[29]</w:t>
      </w:r>
      <w:r>
        <w:rPr>
          <w:rFonts w:ascii="Arial" w:hAnsi="Arial" w:cs="Arial"/>
          <w:sz w:val="20"/>
          <w:szCs w:val="20"/>
        </w:rPr>
        <w:tab/>
        <w:t xml:space="preserve">ISO/IEC 25010:2011, </w:t>
      </w:r>
      <w:r>
        <w:rPr>
          <w:rFonts w:ascii="Arial" w:hAnsi="Arial" w:cs="Arial"/>
          <w:i/>
          <w:sz w:val="20"/>
          <w:szCs w:val="20"/>
        </w:rPr>
        <w:t>Systems and software engineering — Systems</w:t>
      </w:r>
      <w:r>
        <w:rPr>
          <w:rFonts w:ascii="Arial" w:hAnsi="Arial" w:cs="Arial"/>
          <w:i/>
          <w:sz w:val="20"/>
          <w:szCs w:val="20"/>
        </w:rPr>
        <w:t xml:space="preserve"> and software Quality Requirements and Evaluation (SQuaRE) — System and software quality models</w:t>
      </w:r>
      <w:r>
        <w:rPr>
          <w:rFonts w:ascii="Arial" w:hAnsi="Arial" w:cs="Arial"/>
          <w:sz w:val="20"/>
          <w:szCs w:val="20"/>
        </w:rPr>
        <w:t>, ISO/IEC, Ginebra, Suiza, 2011.</w:t>
      </w:r>
    </w:p>
    <w:p w14:paraId="1FDF98E2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[30]</w:t>
      </w:r>
      <w:r>
        <w:rPr>
          <w:rFonts w:ascii="Arial" w:hAnsi="Arial" w:cs="Arial"/>
          <w:sz w:val="20"/>
          <w:szCs w:val="20"/>
        </w:rPr>
        <w:tab/>
        <w:t>K. Maciejowska, A. Lipiecki y B. Uniejewski, "Statistical and economic evaluation of forecasts in electricity markets: Beyo</w:t>
      </w:r>
      <w:r>
        <w:rPr>
          <w:rFonts w:ascii="Arial" w:hAnsi="Arial" w:cs="Arial"/>
          <w:sz w:val="20"/>
          <w:szCs w:val="20"/>
        </w:rPr>
        <w:t xml:space="preserve">nd RMSE and MAE," </w:t>
      </w:r>
      <w:r>
        <w:rPr>
          <w:rFonts w:ascii="Arial" w:hAnsi="Arial" w:cs="Arial"/>
          <w:i/>
          <w:sz w:val="20"/>
          <w:szCs w:val="20"/>
        </w:rPr>
        <w:t>Energy Convers. Manag.</w:t>
      </w:r>
      <w:r>
        <w:rPr>
          <w:rFonts w:ascii="Arial" w:hAnsi="Arial" w:cs="Arial"/>
          <w:sz w:val="20"/>
          <w:szCs w:val="20"/>
        </w:rPr>
        <w:t>, vol. 356, art. 121408, 2026, doi: 10.1016/j.enconman.2026.121408.</w:t>
      </w:r>
    </w:p>
    <w:p w14:paraId="5FF8E380" w14:textId="77777777" w:rsidR="00496FDC" w:rsidRDefault="00A61167" w:rsidP="003B0C1A">
      <w:pPr>
        <w:pStyle w:val="Heading1"/>
        <w:numPr>
          <w:ilvl w:val="1"/>
          <w:numId w:val="29"/>
        </w:numPr>
        <w:spacing w:line="240" w:lineRule="auto"/>
        <w:rPr>
          <w:rFonts w:ascii="Arial" w:hAnsi="Arial" w:cs="Arial"/>
          <w:b/>
          <w:color w:val="auto"/>
          <w:sz w:val="22"/>
          <w:szCs w:val="22"/>
        </w:rPr>
      </w:pPr>
      <w:bookmarkStart w:id="15" w:name="_Toc241498813"/>
      <w:r w:rsidRPr="00314907">
        <w:rPr>
          <w:rFonts w:ascii="Arial" w:hAnsi="Arial" w:cs="Arial"/>
          <w:b/>
          <w:color w:val="auto"/>
          <w:sz w:val="22"/>
          <w:szCs w:val="22"/>
        </w:rPr>
        <w:t>ENCONTRADAS HASTA EL MOMENTO.</w:t>
      </w:r>
      <w:bookmarkEnd w:id="12"/>
      <w:bookmarkEnd w:id="15"/>
    </w:p>
    <w:p w14:paraId="6A3C97B0" w14:textId="77777777" w:rsidR="00C92ED1" w:rsidRDefault="004B15AE">
      <w:pPr>
        <w:spacing w:before="120" w:after="100" w:line="240" w:lineRule="auto"/>
        <w:jc w:val="both"/>
      </w:pPr>
      <w:r>
        <w:rPr>
          <w:rFonts w:ascii="Arial" w:hAnsi="Arial" w:cs="Arial"/>
        </w:rPr>
        <w:t>Literatura revisada durante el proyecto que no se cita en este informe; varias de estas ideas se probaron en experimen</w:t>
      </w:r>
      <w:r>
        <w:rPr>
          <w:rFonts w:ascii="Arial" w:hAnsi="Arial" w:cs="Arial"/>
        </w:rPr>
        <w:t>tos que no se adoptaron (Sección 4).</w:t>
      </w:r>
    </w:p>
    <w:p w14:paraId="3194343F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[31]</w:t>
      </w:r>
      <w:r>
        <w:rPr>
          <w:rFonts w:ascii="Arial" w:hAnsi="Arial" w:cs="Arial"/>
          <w:sz w:val="20"/>
          <w:szCs w:val="20"/>
        </w:rPr>
        <w:tab/>
        <w:t xml:space="preserve">R. Huisman y R. Mahieu, "Regime jumps in electricity prices," </w:t>
      </w:r>
      <w:r>
        <w:rPr>
          <w:rFonts w:ascii="Arial" w:hAnsi="Arial" w:cs="Arial"/>
          <w:i/>
          <w:sz w:val="20"/>
          <w:szCs w:val="20"/>
        </w:rPr>
        <w:t>Energy Econ.</w:t>
      </w:r>
      <w:r>
        <w:rPr>
          <w:rFonts w:ascii="Arial" w:hAnsi="Arial" w:cs="Arial"/>
          <w:sz w:val="20"/>
          <w:szCs w:val="20"/>
        </w:rPr>
        <w:t>, vol. 25, no. 5, pp. 425–434, 2003, doi: 10.1016/S0140-9883(03)00041-0.</w:t>
      </w:r>
    </w:p>
    <w:p w14:paraId="1DA531A6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[32]</w:t>
      </w:r>
      <w:r>
        <w:rPr>
          <w:rFonts w:ascii="Arial" w:hAnsi="Arial" w:cs="Arial"/>
          <w:sz w:val="20"/>
          <w:szCs w:val="20"/>
        </w:rPr>
        <w:tab/>
        <w:t>G. Kapoor, N. Wichitaksorn y W. Zhang, "Analyzing and forecast</w:t>
      </w:r>
      <w:r>
        <w:rPr>
          <w:rFonts w:ascii="Arial" w:hAnsi="Arial" w:cs="Arial"/>
          <w:sz w:val="20"/>
          <w:szCs w:val="20"/>
        </w:rPr>
        <w:t xml:space="preserve">ing electricity price using regime-switching models: The case of New Zealand market," </w:t>
      </w:r>
      <w:r>
        <w:rPr>
          <w:rFonts w:ascii="Arial" w:hAnsi="Arial" w:cs="Arial"/>
          <w:i/>
          <w:sz w:val="20"/>
          <w:szCs w:val="20"/>
        </w:rPr>
        <w:t>J. Forecast.</w:t>
      </w:r>
      <w:r>
        <w:rPr>
          <w:rFonts w:ascii="Arial" w:hAnsi="Arial" w:cs="Arial"/>
          <w:sz w:val="20"/>
          <w:szCs w:val="20"/>
        </w:rPr>
        <w:t>, vol. 42, no. 8, pp. 2011–2026, 2023.</w:t>
      </w:r>
    </w:p>
    <w:p w14:paraId="656E8232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lastRenderedPageBreak/>
        <w:t>[33]</w:t>
      </w:r>
      <w:r>
        <w:rPr>
          <w:rFonts w:ascii="Arial" w:hAnsi="Arial" w:cs="Arial"/>
          <w:sz w:val="20"/>
          <w:szCs w:val="20"/>
        </w:rPr>
        <w:tab/>
        <w:t>J. Nasiadka, W. Nitka y R. Weron, "Calibration window selection based on change-point detection for forecasting el</w:t>
      </w:r>
      <w:r>
        <w:rPr>
          <w:rFonts w:ascii="Arial" w:hAnsi="Arial" w:cs="Arial"/>
          <w:sz w:val="20"/>
          <w:szCs w:val="20"/>
        </w:rPr>
        <w:t xml:space="preserve">ectricity prices," en </w:t>
      </w:r>
      <w:r>
        <w:rPr>
          <w:rFonts w:ascii="Arial" w:hAnsi="Arial" w:cs="Arial"/>
          <w:i/>
          <w:sz w:val="20"/>
          <w:szCs w:val="20"/>
        </w:rPr>
        <w:t>Computational Science – ICCS 2022</w:t>
      </w:r>
      <w:r>
        <w:rPr>
          <w:rFonts w:ascii="Arial" w:hAnsi="Arial" w:cs="Arial"/>
          <w:sz w:val="20"/>
          <w:szCs w:val="20"/>
        </w:rPr>
        <w:t>, Londres, Reino Unido, LNCS. Springer, 2022, arXiv: 2204.00872.</w:t>
      </w:r>
    </w:p>
    <w:p w14:paraId="5B85B0A6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[34]</w:t>
      </w:r>
      <w:r>
        <w:rPr>
          <w:rFonts w:ascii="Arial" w:hAnsi="Arial" w:cs="Arial"/>
          <w:sz w:val="20"/>
          <w:szCs w:val="20"/>
        </w:rPr>
        <w:tab/>
        <w:t>R. Baranowski, Y. Chen y P. Fryzlewicz, "Narrowest-over-threshold detection of multiple change points and change-point-like feature</w:t>
      </w:r>
      <w:r>
        <w:rPr>
          <w:rFonts w:ascii="Arial" w:hAnsi="Arial" w:cs="Arial"/>
          <w:sz w:val="20"/>
          <w:szCs w:val="20"/>
        </w:rPr>
        <w:t xml:space="preserve">s," </w:t>
      </w:r>
      <w:r>
        <w:rPr>
          <w:rFonts w:ascii="Arial" w:hAnsi="Arial" w:cs="Arial"/>
          <w:i/>
          <w:sz w:val="20"/>
          <w:szCs w:val="20"/>
        </w:rPr>
        <w:t>J. R. Stat. Soc. Ser. B</w:t>
      </w:r>
      <w:r>
        <w:rPr>
          <w:rFonts w:ascii="Arial" w:hAnsi="Arial" w:cs="Arial"/>
          <w:sz w:val="20"/>
          <w:szCs w:val="20"/>
        </w:rPr>
        <w:t>, vol. 81, no. 3, pp. 649–672, 2019, doi: 10.1111/rssb.12322.</w:t>
      </w:r>
    </w:p>
    <w:p w14:paraId="32D6AD24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[35]</w:t>
      </w:r>
      <w:r>
        <w:rPr>
          <w:rFonts w:ascii="Arial" w:hAnsi="Arial" w:cs="Arial"/>
          <w:sz w:val="20"/>
          <w:szCs w:val="20"/>
        </w:rPr>
        <w:tab/>
        <w:t>R. I. Chang, C. H. Wang, L. C. Wei y Y. F. Lu, "LSTM with short-term bias compensation to determine trading strategy under black swan events of Taiwan ETF50 stock</w:t>
      </w:r>
      <w:r>
        <w:rPr>
          <w:rFonts w:ascii="Arial" w:hAnsi="Arial" w:cs="Arial"/>
          <w:sz w:val="20"/>
          <w:szCs w:val="20"/>
        </w:rPr>
        <w:t xml:space="preserve">," </w:t>
      </w:r>
      <w:r>
        <w:rPr>
          <w:rFonts w:ascii="Arial" w:hAnsi="Arial" w:cs="Arial"/>
          <w:i/>
          <w:sz w:val="20"/>
          <w:szCs w:val="20"/>
        </w:rPr>
        <w:t>Appl. Sci.</w:t>
      </w:r>
      <w:r>
        <w:rPr>
          <w:rFonts w:ascii="Arial" w:hAnsi="Arial" w:cs="Arial"/>
          <w:sz w:val="20"/>
          <w:szCs w:val="20"/>
        </w:rPr>
        <w:t>, vol. 14, art. 8576, 2024.</w:t>
      </w:r>
    </w:p>
    <w:p w14:paraId="70BD19F0" w14:textId="77777777" w:rsidR="00C92ED1" w:rsidRDefault="004B15AE">
      <w:pPr>
        <w:tabs>
          <w:tab w:val="left" w:pos="567"/>
        </w:tabs>
        <w:spacing w:after="80" w:line="240" w:lineRule="auto"/>
        <w:ind w:left="567" w:hanging="567"/>
      </w:pPr>
      <w:r>
        <w:rPr>
          <w:rFonts w:ascii="Arial" w:hAnsi="Arial" w:cs="Arial"/>
          <w:sz w:val="20"/>
          <w:szCs w:val="20"/>
        </w:rPr>
        <w:t>[36]</w:t>
      </w:r>
      <w:r>
        <w:rPr>
          <w:rFonts w:ascii="Arial" w:hAnsi="Arial" w:cs="Arial"/>
          <w:sz w:val="20"/>
          <w:szCs w:val="20"/>
        </w:rPr>
        <w:tab/>
        <w:t xml:space="preserve">G. A. Singh, "Regime-aware deep learning for financial forecasting: An adaptive short-term bias compensation framework for the Warsaw Stock Exchange," </w:t>
      </w:r>
      <w:r>
        <w:rPr>
          <w:rFonts w:ascii="Arial" w:hAnsi="Arial" w:cs="Arial"/>
          <w:i/>
          <w:sz w:val="20"/>
          <w:szCs w:val="20"/>
        </w:rPr>
        <w:t>Expert Syst. Appl.</w:t>
      </w:r>
      <w:r>
        <w:rPr>
          <w:rFonts w:ascii="Arial" w:hAnsi="Arial" w:cs="Arial"/>
          <w:sz w:val="20"/>
          <w:szCs w:val="20"/>
        </w:rPr>
        <w:t>, vol. 332, art. 133584, 2027.</w:t>
      </w:r>
    </w:p>
    <w:sectPr w:rsidR="00C92ED1" w:rsidSect="00184A97">
      <w:headerReference w:type="default" r:id="rId18"/>
      <w:footerReference w:type="even" r:id="rId19"/>
      <w:footerReference w:type="default" r:id="rId2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927DE" w14:textId="77777777" w:rsidR="00DD425C" w:rsidRDefault="00DD425C" w:rsidP="00957D6C">
      <w:pPr>
        <w:spacing w:after="0" w:line="240" w:lineRule="auto"/>
      </w:pPr>
      <w:r>
        <w:separator/>
      </w:r>
    </w:p>
  </w:endnote>
  <w:endnote w:type="continuationSeparator" w:id="0">
    <w:p w14:paraId="6ECF1668" w14:textId="77777777" w:rsidR="00DD425C" w:rsidRDefault="00DD425C" w:rsidP="0095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46078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8669DC5" w14:textId="77777777" w:rsidR="00B7074D" w:rsidRDefault="00B7074D" w:rsidP="004A0F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BF5FCB" w14:textId="77777777" w:rsidR="00C0027C" w:rsidRDefault="00C0027C" w:rsidP="00B707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053203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D4FEC53" w14:textId="77777777" w:rsidR="00B7074D" w:rsidRDefault="00B7074D" w:rsidP="004A0F7F">
        <w:pPr>
          <w:pStyle w:val="Footer"/>
          <w:framePr w:wrap="none" w:vAnchor="text" w:hAnchor="margin" w:xAlign="right" w:y="1"/>
          <w:rPr>
            <w:rStyle w:val="PageNumber"/>
          </w:rPr>
        </w:pPr>
      </w:p>
      <w:p w14:paraId="6E2A06D0" w14:textId="77777777" w:rsidR="00B7074D" w:rsidRDefault="004B15AE" w:rsidP="004A0F7F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5D545185" w14:textId="77777777" w:rsidR="00314907" w:rsidRDefault="00314907" w:rsidP="00B7074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CDD55" w14:textId="77777777" w:rsidR="00DD425C" w:rsidRDefault="00DD425C" w:rsidP="00957D6C">
      <w:pPr>
        <w:spacing w:after="0" w:line="240" w:lineRule="auto"/>
      </w:pPr>
      <w:r>
        <w:separator/>
      </w:r>
    </w:p>
  </w:footnote>
  <w:footnote w:type="continuationSeparator" w:id="0">
    <w:p w14:paraId="3CCB5C06" w14:textId="77777777" w:rsidR="00DD425C" w:rsidRDefault="00DD425C" w:rsidP="00957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pPr w:leftFromText="141" w:rightFromText="141" w:horzAnchor="margin" w:tblpXSpec="center" w:tblpY="-525"/>
      <w:tblW w:w="10917" w:type="dxa"/>
      <w:tblLook w:val="04A0" w:firstRow="1" w:lastRow="0" w:firstColumn="1" w:lastColumn="0" w:noHBand="0" w:noVBand="1"/>
    </w:tblPr>
    <w:tblGrid>
      <w:gridCol w:w="3917"/>
      <w:gridCol w:w="4496"/>
      <w:gridCol w:w="2504"/>
    </w:tblGrid>
    <w:tr w:rsidR="00314907" w14:paraId="28C28F76" w14:textId="77777777" w:rsidTr="00136CEA">
      <w:trPr>
        <w:trHeight w:val="257"/>
      </w:trPr>
      <w:tc>
        <w:tcPr>
          <w:tcW w:w="3917" w:type="dxa"/>
          <w:vMerge w:val="restart"/>
        </w:tcPr>
        <w:p w14:paraId="7DE57A9B" w14:textId="77777777" w:rsidR="00314907" w:rsidRPr="00957D6C" w:rsidRDefault="00314907" w:rsidP="004904DB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957D6C">
            <w:rPr>
              <w:rFonts w:ascii="Times New Roman" w:hAnsi="Times New Roman" w:cs="Times New Roman"/>
              <w:noProof/>
              <w:lang w:eastAsia="es-CO"/>
            </w:rPr>
            <w:drawing>
              <wp:anchor distT="0" distB="0" distL="114300" distR="114300" simplePos="0" relativeHeight="251667968" behindDoc="0" locked="0" layoutInCell="1" allowOverlap="1" wp14:anchorId="3EFC1004" wp14:editId="66FF3953">
                <wp:simplePos x="0" y="0"/>
                <wp:positionH relativeFrom="column">
                  <wp:posOffset>-59055</wp:posOffset>
                </wp:positionH>
                <wp:positionV relativeFrom="paragraph">
                  <wp:posOffset>58420</wp:posOffset>
                </wp:positionV>
                <wp:extent cx="2350135" cy="628650"/>
                <wp:effectExtent l="0" t="0" r="0" b="0"/>
                <wp:wrapThrough wrapText="bothSides">
                  <wp:wrapPolygon edited="0">
                    <wp:start x="2276" y="0"/>
                    <wp:lineTo x="350" y="4582"/>
                    <wp:lineTo x="0" y="5891"/>
                    <wp:lineTo x="0" y="10473"/>
                    <wp:lineTo x="350" y="20945"/>
                    <wp:lineTo x="5428" y="20945"/>
                    <wp:lineTo x="21361" y="18982"/>
                    <wp:lineTo x="21361" y="5236"/>
                    <wp:lineTo x="18384" y="3927"/>
                    <wp:lineTo x="3327" y="0"/>
                    <wp:lineTo x="2276" y="0"/>
                  </wp:wrapPolygon>
                </wp:wrapThrough>
                <wp:docPr id="1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eaderlogo_u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013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96" w:type="dxa"/>
        </w:tcPr>
        <w:p w14:paraId="679D956D" w14:textId="77777777" w:rsidR="00314907" w:rsidRPr="00656A21" w:rsidRDefault="00314907" w:rsidP="004904DB">
          <w:pPr>
            <w:pStyle w:val="Header"/>
            <w:jc w:val="both"/>
            <w:rPr>
              <w:rFonts w:ascii="Arial" w:hAnsi="Arial" w:cs="Arial"/>
            </w:rPr>
          </w:pPr>
          <w:r w:rsidRPr="00656A21">
            <w:rPr>
              <w:rFonts w:ascii="Arial" w:hAnsi="Arial" w:cs="Arial"/>
              <w:b/>
              <w:sz w:val="20"/>
            </w:rPr>
            <w:t>Título del documento</w:t>
          </w:r>
          <w:r w:rsidRPr="00656A21">
            <w:rPr>
              <w:rFonts w:ascii="Arial" w:hAnsi="Arial" w:cs="Arial"/>
              <w:sz w:val="20"/>
            </w:rPr>
            <w:t xml:space="preserve">: </w:t>
          </w:r>
        </w:p>
      </w:tc>
      <w:tc>
        <w:tcPr>
          <w:tcW w:w="2504" w:type="dxa"/>
        </w:tcPr>
        <w:p w14:paraId="237A6006" w14:textId="77777777" w:rsidR="00314907" w:rsidRPr="00656A21" w:rsidRDefault="00314907" w:rsidP="0030205B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Fecha: 26/09/2026</w:t>
          </w:r>
        </w:p>
      </w:tc>
    </w:tr>
    <w:tr w:rsidR="00314907" w14:paraId="0F2C0377" w14:textId="77777777" w:rsidTr="00136CEA">
      <w:trPr>
        <w:trHeight w:val="658"/>
      </w:trPr>
      <w:tc>
        <w:tcPr>
          <w:tcW w:w="3917" w:type="dxa"/>
          <w:vMerge/>
        </w:tcPr>
        <w:p w14:paraId="4B066E12" w14:textId="77777777" w:rsidR="00314907" w:rsidRPr="00957D6C" w:rsidRDefault="00314907" w:rsidP="004904DB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496" w:type="dxa"/>
          <w:vMerge w:val="restart"/>
        </w:tcPr>
        <w:p w14:paraId="50B977F6" w14:textId="77777777" w:rsidR="00314907" w:rsidRPr="00273498" w:rsidRDefault="00314907" w:rsidP="00273498">
          <w:pPr>
            <w:pStyle w:val="Header"/>
            <w:jc w:val="center"/>
            <w:rPr>
              <w:rFonts w:ascii="Arial" w:hAnsi="Arial" w:cs="Arial"/>
              <w:b/>
              <w:sz w:val="28"/>
              <w:szCs w:val="44"/>
            </w:rPr>
          </w:pPr>
          <w:r>
            <w:rPr>
              <w:rFonts w:ascii="Arial" w:hAnsi="Arial" w:cs="Arial"/>
              <w:b/>
              <w:sz w:val="28"/>
              <w:szCs w:val="44"/>
            </w:rPr>
            <w:t>INFORME DE AVANCE PROYECTO FINAL</w:t>
          </w:r>
        </w:p>
      </w:tc>
      <w:tc>
        <w:tcPr>
          <w:tcW w:w="2504" w:type="dxa"/>
        </w:tcPr>
        <w:p w14:paraId="763C06E2" w14:textId="77777777" w:rsidR="00314907" w:rsidRPr="00656A21" w:rsidRDefault="00314907" w:rsidP="0030205B">
          <w:pPr>
            <w:pStyle w:val="Head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Estudiantes:</w:t>
          </w:r>
          <w:r w:rsidRPr="00656A21">
            <w:rPr>
              <w:rFonts w:ascii="Arial" w:hAnsi="Arial" w:cs="Arial"/>
              <w:sz w:val="20"/>
            </w:rPr>
            <w:t xml:space="preserve"> </w:t>
          </w:r>
        </w:p>
        <w:p w14:paraId="77E1093B" w14:textId="77777777" w:rsidR="00314907" w:rsidRPr="00656A21" w:rsidRDefault="00314907" w:rsidP="00F7422D">
          <w:pPr>
            <w:pStyle w:val="Header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16"/>
              <w:szCs w:val="16"/>
            </w:rPr>
            <w:t>J. D. Barceló Barraza</w:t>
          </w:r>
          <w:r>
            <w:br/>
          </w:r>
          <w:r>
            <w:rPr>
              <w:rFonts w:ascii="Arial" w:hAnsi="Arial" w:cs="Arial"/>
              <w:sz w:val="16"/>
              <w:szCs w:val="16"/>
            </w:rPr>
            <w:t>R. A. Dede Perdomo</w:t>
          </w:r>
        </w:p>
      </w:tc>
    </w:tr>
    <w:tr w:rsidR="00314907" w14:paraId="40EEE8FE" w14:textId="77777777" w:rsidTr="003A4C3C">
      <w:trPr>
        <w:trHeight w:val="169"/>
      </w:trPr>
      <w:tc>
        <w:tcPr>
          <w:tcW w:w="3917" w:type="dxa"/>
          <w:vMerge/>
        </w:tcPr>
        <w:p w14:paraId="268D966B" w14:textId="77777777" w:rsidR="00314907" w:rsidRPr="00957D6C" w:rsidRDefault="00314907" w:rsidP="004904DB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496" w:type="dxa"/>
          <w:vMerge/>
        </w:tcPr>
        <w:p w14:paraId="20D04477" w14:textId="77777777" w:rsidR="00314907" w:rsidRPr="00656A21" w:rsidRDefault="00314907" w:rsidP="004904DB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2504" w:type="dxa"/>
        </w:tcPr>
        <w:p w14:paraId="70DF488B" w14:textId="77777777" w:rsidR="00314907" w:rsidRPr="00656A21" w:rsidRDefault="00314907" w:rsidP="0030205B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sz w:val="20"/>
            </w:rPr>
            <w:t xml:space="preserve">Página </w:t>
          </w:r>
          <w:r>
            <w:rPr>
              <w:rFonts w:ascii="Arial" w:hAnsi="Arial" w:cs="Arial"/>
              <w:sz w:val="20"/>
            </w:rPr>
            <w:fldChar w:fldCharType="begin"/>
          </w:r>
          <w:r>
            <w:rPr>
              <w:rFonts w:ascii="Arial" w:hAnsi="Arial" w:cs="Arial"/>
              <w:sz w:val="20"/>
            </w:rPr>
            <w:instrText xml:space="preserve"> PAGE </w:instrText>
          </w:r>
          <w:r>
            <w:rPr>
              <w:rFonts w:ascii="Arial" w:hAnsi="Arial" w:cs="Arial"/>
              <w:sz w:val="20"/>
            </w:rPr>
            <w:fldChar w:fldCharType="separate"/>
          </w:r>
          <w:r>
            <w:rPr>
              <w:rFonts w:ascii="Arial" w:hAnsi="Arial" w:cs="Arial"/>
              <w:sz w:val="20"/>
            </w:rPr>
            <w:t>1</w:t>
          </w:r>
          <w:r>
            <w:rPr>
              <w:rFonts w:ascii="Arial" w:hAnsi="Arial" w:cs="Arial"/>
              <w:sz w:val="20"/>
            </w:rPr>
            <w:fldChar w:fldCharType="end"/>
          </w:r>
          <w:r>
            <w:rPr>
              <w:rFonts w:ascii="Arial" w:hAnsi="Arial" w:cs="Arial"/>
              <w:sz w:val="20"/>
            </w:rPr>
            <w:t xml:space="preserve"> de </w:t>
          </w:r>
          <w:r>
            <w:rPr>
              <w:rFonts w:ascii="Arial" w:hAnsi="Arial" w:cs="Arial"/>
              <w:sz w:val="20"/>
            </w:rPr>
            <w:fldChar w:fldCharType="begin"/>
          </w:r>
          <w:r>
            <w:rPr>
              <w:rFonts w:ascii="Arial" w:hAnsi="Arial" w:cs="Arial"/>
              <w:sz w:val="20"/>
            </w:rPr>
            <w:instrText xml:space="preserve"> NUMPAGES </w:instrText>
          </w:r>
          <w:r>
            <w:rPr>
              <w:rFonts w:ascii="Arial" w:hAnsi="Arial" w:cs="Arial"/>
              <w:sz w:val="20"/>
            </w:rPr>
            <w:fldChar w:fldCharType="separate"/>
          </w:r>
          <w:r>
            <w:rPr>
              <w:rFonts w:ascii="Arial" w:hAnsi="Arial" w:cs="Arial"/>
              <w:sz w:val="20"/>
            </w:rPr>
            <w:t>1</w:t>
          </w:r>
          <w:r>
            <w:rPr>
              <w:rFonts w:ascii="Arial" w:hAnsi="Arial" w:cs="Arial"/>
              <w:sz w:val="20"/>
            </w:rPr>
            <w:fldChar w:fldCharType="end"/>
          </w:r>
        </w:p>
      </w:tc>
    </w:tr>
  </w:tbl>
  <w:p w14:paraId="286D32B7" w14:textId="77777777" w:rsidR="00314907" w:rsidRDefault="00314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0BB4"/>
    <w:multiLevelType w:val="hybridMultilevel"/>
    <w:tmpl w:val="55CE1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5546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695B5E"/>
    <w:multiLevelType w:val="hybridMultilevel"/>
    <w:tmpl w:val="D7A69B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50E64"/>
    <w:multiLevelType w:val="hybridMultilevel"/>
    <w:tmpl w:val="904C57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716AB"/>
    <w:multiLevelType w:val="hybridMultilevel"/>
    <w:tmpl w:val="93FE0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710D7"/>
    <w:multiLevelType w:val="hybridMultilevel"/>
    <w:tmpl w:val="2826895A"/>
    <w:lvl w:ilvl="0" w:tplc="0C0A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8924DE9"/>
    <w:multiLevelType w:val="multilevel"/>
    <w:tmpl w:val="78B430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DE50506"/>
    <w:multiLevelType w:val="multilevel"/>
    <w:tmpl w:val="78B430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8DB06DF"/>
    <w:multiLevelType w:val="hybridMultilevel"/>
    <w:tmpl w:val="A9E4377C"/>
    <w:lvl w:ilvl="0" w:tplc="DF72CB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A54009C"/>
    <w:multiLevelType w:val="hybridMultilevel"/>
    <w:tmpl w:val="B5700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A2821"/>
    <w:multiLevelType w:val="hybridMultilevel"/>
    <w:tmpl w:val="48844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86A68"/>
    <w:multiLevelType w:val="hybridMultilevel"/>
    <w:tmpl w:val="85AA6A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5716A"/>
    <w:multiLevelType w:val="multilevel"/>
    <w:tmpl w:val="C7327B4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693326"/>
    <w:multiLevelType w:val="hybridMultilevel"/>
    <w:tmpl w:val="CAF2559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92AF9"/>
    <w:multiLevelType w:val="multilevel"/>
    <w:tmpl w:val="B8ECA9B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83916B2"/>
    <w:multiLevelType w:val="hybridMultilevel"/>
    <w:tmpl w:val="A308F9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0774B19"/>
    <w:multiLevelType w:val="multilevel"/>
    <w:tmpl w:val="998616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14F415C"/>
    <w:multiLevelType w:val="hybridMultilevel"/>
    <w:tmpl w:val="72E6626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73CFA"/>
    <w:multiLevelType w:val="hybridMultilevel"/>
    <w:tmpl w:val="11E260B2"/>
    <w:lvl w:ilvl="0" w:tplc="6A2EF3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E6F56"/>
    <w:multiLevelType w:val="multilevel"/>
    <w:tmpl w:val="2BB084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E26539F"/>
    <w:multiLevelType w:val="hybridMultilevel"/>
    <w:tmpl w:val="9572CB46"/>
    <w:lvl w:ilvl="0" w:tplc="EB4080B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17855"/>
    <w:multiLevelType w:val="multilevel"/>
    <w:tmpl w:val="68B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9A253B"/>
    <w:multiLevelType w:val="hybridMultilevel"/>
    <w:tmpl w:val="FEC8F068"/>
    <w:lvl w:ilvl="0" w:tplc="6C7C324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FBC19EB"/>
    <w:multiLevelType w:val="hybridMultilevel"/>
    <w:tmpl w:val="918E69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9246DB"/>
    <w:multiLevelType w:val="hybridMultilevel"/>
    <w:tmpl w:val="E82A306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0C5737"/>
    <w:multiLevelType w:val="hybridMultilevel"/>
    <w:tmpl w:val="3BC0C3A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D72F5"/>
    <w:multiLevelType w:val="multilevel"/>
    <w:tmpl w:val="C9426A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3270F85"/>
    <w:multiLevelType w:val="hybridMultilevel"/>
    <w:tmpl w:val="3B163B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D07634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FF25C60"/>
    <w:multiLevelType w:val="multilevel"/>
    <w:tmpl w:val="695C508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cs="Arial" w:hint="default"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1812E00"/>
    <w:multiLevelType w:val="multilevel"/>
    <w:tmpl w:val="C7327B40"/>
    <w:styleLink w:val="Estilo1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227244B"/>
    <w:multiLevelType w:val="multilevel"/>
    <w:tmpl w:val="C7327B40"/>
    <w:numStyleLink w:val="Estilo1"/>
  </w:abstractNum>
  <w:num w:numId="1">
    <w:abstractNumId w:val="6"/>
  </w:num>
  <w:num w:numId="2">
    <w:abstractNumId w:val="23"/>
  </w:num>
  <w:num w:numId="3">
    <w:abstractNumId w:val="13"/>
  </w:num>
  <w:num w:numId="4">
    <w:abstractNumId w:val="8"/>
  </w:num>
  <w:num w:numId="5">
    <w:abstractNumId w:val="20"/>
  </w:num>
  <w:num w:numId="6">
    <w:abstractNumId w:val="16"/>
  </w:num>
  <w:num w:numId="7">
    <w:abstractNumId w:val="25"/>
  </w:num>
  <w:num w:numId="8">
    <w:abstractNumId w:val="5"/>
  </w:num>
  <w:num w:numId="9">
    <w:abstractNumId w:val="7"/>
  </w:num>
  <w:num w:numId="10">
    <w:abstractNumId w:val="26"/>
  </w:num>
  <w:num w:numId="11">
    <w:abstractNumId w:val="11"/>
  </w:num>
  <w:num w:numId="12">
    <w:abstractNumId w:val="18"/>
  </w:num>
  <w:num w:numId="13">
    <w:abstractNumId w:val="12"/>
  </w:num>
  <w:num w:numId="14">
    <w:abstractNumId w:val="14"/>
  </w:num>
  <w:num w:numId="15">
    <w:abstractNumId w:val="30"/>
  </w:num>
  <w:num w:numId="16">
    <w:abstractNumId w:val="21"/>
  </w:num>
  <w:num w:numId="17">
    <w:abstractNumId w:val="24"/>
  </w:num>
  <w:num w:numId="18">
    <w:abstractNumId w:val="3"/>
  </w:num>
  <w:num w:numId="19">
    <w:abstractNumId w:val="22"/>
  </w:num>
  <w:num w:numId="20">
    <w:abstractNumId w:val="19"/>
  </w:num>
  <w:num w:numId="21">
    <w:abstractNumId w:val="2"/>
  </w:num>
  <w:num w:numId="22">
    <w:abstractNumId w:val="15"/>
  </w:num>
  <w:num w:numId="23">
    <w:abstractNumId w:val="10"/>
  </w:num>
  <w:num w:numId="24">
    <w:abstractNumId w:val="28"/>
  </w:num>
  <w:num w:numId="25">
    <w:abstractNumId w:val="9"/>
  </w:num>
  <w:num w:numId="26">
    <w:abstractNumId w:val="4"/>
  </w:num>
  <w:num w:numId="27">
    <w:abstractNumId w:val="0"/>
  </w:num>
  <w:num w:numId="28">
    <w:abstractNumId w:val="29"/>
  </w:num>
  <w:num w:numId="29">
    <w:abstractNumId w:val="1"/>
  </w:num>
  <w:num w:numId="30">
    <w:abstractNumId w:val="31"/>
  </w:num>
  <w:num w:numId="31">
    <w:abstractNumId w:val="32"/>
  </w:num>
  <w:num w:numId="32">
    <w:abstractNumId w:val="27"/>
  </w:num>
  <w:num w:numId="33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D6C"/>
    <w:rsid w:val="00015C56"/>
    <w:rsid w:val="00020E45"/>
    <w:rsid w:val="00026656"/>
    <w:rsid w:val="00031AE4"/>
    <w:rsid w:val="0004682C"/>
    <w:rsid w:val="0004702C"/>
    <w:rsid w:val="000526A5"/>
    <w:rsid w:val="00052B99"/>
    <w:rsid w:val="00063112"/>
    <w:rsid w:val="000638F8"/>
    <w:rsid w:val="000864F0"/>
    <w:rsid w:val="000908A7"/>
    <w:rsid w:val="00090B9D"/>
    <w:rsid w:val="00091707"/>
    <w:rsid w:val="000A29A5"/>
    <w:rsid w:val="000B64DB"/>
    <w:rsid w:val="000C1758"/>
    <w:rsid w:val="000C4B62"/>
    <w:rsid w:val="000D7ED3"/>
    <w:rsid w:val="000E26BF"/>
    <w:rsid w:val="000E59EC"/>
    <w:rsid w:val="000F6F95"/>
    <w:rsid w:val="001042FD"/>
    <w:rsid w:val="00107182"/>
    <w:rsid w:val="001349B2"/>
    <w:rsid w:val="00136CEA"/>
    <w:rsid w:val="00146F4F"/>
    <w:rsid w:val="0015067F"/>
    <w:rsid w:val="00156041"/>
    <w:rsid w:val="00161044"/>
    <w:rsid w:val="0016398F"/>
    <w:rsid w:val="001642B5"/>
    <w:rsid w:val="0016578D"/>
    <w:rsid w:val="00165EF8"/>
    <w:rsid w:val="00184613"/>
    <w:rsid w:val="00184A97"/>
    <w:rsid w:val="00184CB6"/>
    <w:rsid w:val="00192419"/>
    <w:rsid w:val="00196172"/>
    <w:rsid w:val="001A15D0"/>
    <w:rsid w:val="001C1228"/>
    <w:rsid w:val="001D5DF2"/>
    <w:rsid w:val="001D6E44"/>
    <w:rsid w:val="001E0A6A"/>
    <w:rsid w:val="001E1C73"/>
    <w:rsid w:val="001E4C2A"/>
    <w:rsid w:val="001E5097"/>
    <w:rsid w:val="00200AF8"/>
    <w:rsid w:val="00201B5F"/>
    <w:rsid w:val="00202674"/>
    <w:rsid w:val="00205276"/>
    <w:rsid w:val="00207C77"/>
    <w:rsid w:val="00210987"/>
    <w:rsid w:val="002172E8"/>
    <w:rsid w:val="00217FA9"/>
    <w:rsid w:val="002323B6"/>
    <w:rsid w:val="00240215"/>
    <w:rsid w:val="00273498"/>
    <w:rsid w:val="00275461"/>
    <w:rsid w:val="002768DB"/>
    <w:rsid w:val="00282C33"/>
    <w:rsid w:val="002835BE"/>
    <w:rsid w:val="002939B4"/>
    <w:rsid w:val="002B2CD3"/>
    <w:rsid w:val="002B6172"/>
    <w:rsid w:val="002C63C6"/>
    <w:rsid w:val="002D5B8A"/>
    <w:rsid w:val="002E0459"/>
    <w:rsid w:val="002E2A11"/>
    <w:rsid w:val="002E5170"/>
    <w:rsid w:val="002E71A5"/>
    <w:rsid w:val="002E74C0"/>
    <w:rsid w:val="002F5F83"/>
    <w:rsid w:val="0030205B"/>
    <w:rsid w:val="003034B8"/>
    <w:rsid w:val="00307650"/>
    <w:rsid w:val="00312445"/>
    <w:rsid w:val="003125C6"/>
    <w:rsid w:val="00314907"/>
    <w:rsid w:val="0032140B"/>
    <w:rsid w:val="00326BCF"/>
    <w:rsid w:val="0033204B"/>
    <w:rsid w:val="00335B75"/>
    <w:rsid w:val="003421AC"/>
    <w:rsid w:val="0034452A"/>
    <w:rsid w:val="003467AD"/>
    <w:rsid w:val="00351EB2"/>
    <w:rsid w:val="00355D85"/>
    <w:rsid w:val="0036465E"/>
    <w:rsid w:val="00375845"/>
    <w:rsid w:val="00381390"/>
    <w:rsid w:val="00382FA5"/>
    <w:rsid w:val="00397C15"/>
    <w:rsid w:val="003A119C"/>
    <w:rsid w:val="003A4C3C"/>
    <w:rsid w:val="003A6058"/>
    <w:rsid w:val="003B0C1A"/>
    <w:rsid w:val="00412245"/>
    <w:rsid w:val="0041274A"/>
    <w:rsid w:val="00434538"/>
    <w:rsid w:val="00440BAC"/>
    <w:rsid w:val="004416F7"/>
    <w:rsid w:val="00441C84"/>
    <w:rsid w:val="004501EC"/>
    <w:rsid w:val="004547A7"/>
    <w:rsid w:val="00455699"/>
    <w:rsid w:val="0046683A"/>
    <w:rsid w:val="00466DF6"/>
    <w:rsid w:val="00484F4A"/>
    <w:rsid w:val="004904DB"/>
    <w:rsid w:val="00490878"/>
    <w:rsid w:val="00496FDC"/>
    <w:rsid w:val="004B15AE"/>
    <w:rsid w:val="004B64D3"/>
    <w:rsid w:val="004C3EE0"/>
    <w:rsid w:val="004C5E1D"/>
    <w:rsid w:val="004E3458"/>
    <w:rsid w:val="004E657C"/>
    <w:rsid w:val="004F3E52"/>
    <w:rsid w:val="004F6BE7"/>
    <w:rsid w:val="00514CE7"/>
    <w:rsid w:val="00515C20"/>
    <w:rsid w:val="0051736B"/>
    <w:rsid w:val="0051750A"/>
    <w:rsid w:val="00527C1D"/>
    <w:rsid w:val="00534DDE"/>
    <w:rsid w:val="00542CF8"/>
    <w:rsid w:val="00567FA4"/>
    <w:rsid w:val="005719D4"/>
    <w:rsid w:val="005752AB"/>
    <w:rsid w:val="00595470"/>
    <w:rsid w:val="005B0748"/>
    <w:rsid w:val="005B17F9"/>
    <w:rsid w:val="005C0566"/>
    <w:rsid w:val="005C0F0C"/>
    <w:rsid w:val="005C5CA9"/>
    <w:rsid w:val="005C672B"/>
    <w:rsid w:val="005D2ACC"/>
    <w:rsid w:val="005E19C7"/>
    <w:rsid w:val="005E4184"/>
    <w:rsid w:val="005F69F0"/>
    <w:rsid w:val="006066CA"/>
    <w:rsid w:val="00611EE6"/>
    <w:rsid w:val="00620742"/>
    <w:rsid w:val="00625A48"/>
    <w:rsid w:val="0063105E"/>
    <w:rsid w:val="006440D1"/>
    <w:rsid w:val="00653923"/>
    <w:rsid w:val="00656A21"/>
    <w:rsid w:val="00667AA2"/>
    <w:rsid w:val="00682F85"/>
    <w:rsid w:val="00685614"/>
    <w:rsid w:val="006A064B"/>
    <w:rsid w:val="006A1114"/>
    <w:rsid w:val="006A7871"/>
    <w:rsid w:val="006B1661"/>
    <w:rsid w:val="006B1ADC"/>
    <w:rsid w:val="006B59AD"/>
    <w:rsid w:val="006B7409"/>
    <w:rsid w:val="006B7575"/>
    <w:rsid w:val="006D24DF"/>
    <w:rsid w:val="006D2F27"/>
    <w:rsid w:val="006E4D6B"/>
    <w:rsid w:val="006F050F"/>
    <w:rsid w:val="006F0C39"/>
    <w:rsid w:val="0070342D"/>
    <w:rsid w:val="00721C8A"/>
    <w:rsid w:val="00722B84"/>
    <w:rsid w:val="00725981"/>
    <w:rsid w:val="007358B2"/>
    <w:rsid w:val="007704DF"/>
    <w:rsid w:val="007A1D42"/>
    <w:rsid w:val="007B022C"/>
    <w:rsid w:val="007E0B01"/>
    <w:rsid w:val="007F7B1B"/>
    <w:rsid w:val="00802535"/>
    <w:rsid w:val="0082740D"/>
    <w:rsid w:val="008379E6"/>
    <w:rsid w:val="0086666B"/>
    <w:rsid w:val="008667A0"/>
    <w:rsid w:val="0087222D"/>
    <w:rsid w:val="00874593"/>
    <w:rsid w:val="00883EE0"/>
    <w:rsid w:val="0089659C"/>
    <w:rsid w:val="008A464B"/>
    <w:rsid w:val="008B0A93"/>
    <w:rsid w:val="008B0D7D"/>
    <w:rsid w:val="008B2073"/>
    <w:rsid w:val="008C60FF"/>
    <w:rsid w:val="008C7334"/>
    <w:rsid w:val="008E3441"/>
    <w:rsid w:val="008E5223"/>
    <w:rsid w:val="008E5B6A"/>
    <w:rsid w:val="008E659C"/>
    <w:rsid w:val="0090444A"/>
    <w:rsid w:val="00933A31"/>
    <w:rsid w:val="009475C9"/>
    <w:rsid w:val="00950BFC"/>
    <w:rsid w:val="00951A0F"/>
    <w:rsid w:val="00952B3C"/>
    <w:rsid w:val="009542B6"/>
    <w:rsid w:val="00954EB4"/>
    <w:rsid w:val="00957D6C"/>
    <w:rsid w:val="009667A4"/>
    <w:rsid w:val="00971DB4"/>
    <w:rsid w:val="009855A7"/>
    <w:rsid w:val="00990C46"/>
    <w:rsid w:val="009925BB"/>
    <w:rsid w:val="009A2545"/>
    <w:rsid w:val="009A7927"/>
    <w:rsid w:val="009D4A38"/>
    <w:rsid w:val="009D6541"/>
    <w:rsid w:val="009E3E88"/>
    <w:rsid w:val="00A0215B"/>
    <w:rsid w:val="00A066D1"/>
    <w:rsid w:val="00A12CE2"/>
    <w:rsid w:val="00A15C90"/>
    <w:rsid w:val="00A3304D"/>
    <w:rsid w:val="00A36503"/>
    <w:rsid w:val="00A40846"/>
    <w:rsid w:val="00A41E16"/>
    <w:rsid w:val="00A425B9"/>
    <w:rsid w:val="00A43AB0"/>
    <w:rsid w:val="00A4677E"/>
    <w:rsid w:val="00A50ABA"/>
    <w:rsid w:val="00A524F2"/>
    <w:rsid w:val="00A61167"/>
    <w:rsid w:val="00A75346"/>
    <w:rsid w:val="00A81341"/>
    <w:rsid w:val="00A87B6F"/>
    <w:rsid w:val="00A905E3"/>
    <w:rsid w:val="00A93B5E"/>
    <w:rsid w:val="00AA185E"/>
    <w:rsid w:val="00AA46F5"/>
    <w:rsid w:val="00AB1B52"/>
    <w:rsid w:val="00AC3C6E"/>
    <w:rsid w:val="00AF3C36"/>
    <w:rsid w:val="00AF540E"/>
    <w:rsid w:val="00B10280"/>
    <w:rsid w:val="00B14C7A"/>
    <w:rsid w:val="00B230DF"/>
    <w:rsid w:val="00B23BE0"/>
    <w:rsid w:val="00B24E22"/>
    <w:rsid w:val="00B256E2"/>
    <w:rsid w:val="00B4208D"/>
    <w:rsid w:val="00B44976"/>
    <w:rsid w:val="00B47D89"/>
    <w:rsid w:val="00B67FCF"/>
    <w:rsid w:val="00B7074D"/>
    <w:rsid w:val="00B74715"/>
    <w:rsid w:val="00B758DA"/>
    <w:rsid w:val="00BA077C"/>
    <w:rsid w:val="00BA23A4"/>
    <w:rsid w:val="00BA73E9"/>
    <w:rsid w:val="00BC0D6E"/>
    <w:rsid w:val="00BC3E2C"/>
    <w:rsid w:val="00BC7F22"/>
    <w:rsid w:val="00BD2EA1"/>
    <w:rsid w:val="00BD4BC2"/>
    <w:rsid w:val="00C0027C"/>
    <w:rsid w:val="00C12B0C"/>
    <w:rsid w:val="00C14D0B"/>
    <w:rsid w:val="00C176C0"/>
    <w:rsid w:val="00C17D67"/>
    <w:rsid w:val="00C309B9"/>
    <w:rsid w:val="00C34F8D"/>
    <w:rsid w:val="00C626F1"/>
    <w:rsid w:val="00C80455"/>
    <w:rsid w:val="00C90BC2"/>
    <w:rsid w:val="00C91272"/>
    <w:rsid w:val="00C9149D"/>
    <w:rsid w:val="00C92BD3"/>
    <w:rsid w:val="00C92ED1"/>
    <w:rsid w:val="00C96F03"/>
    <w:rsid w:val="00C976C5"/>
    <w:rsid w:val="00CA7527"/>
    <w:rsid w:val="00CB3311"/>
    <w:rsid w:val="00CD0E2E"/>
    <w:rsid w:val="00CD3465"/>
    <w:rsid w:val="00CD3D48"/>
    <w:rsid w:val="00CE69F2"/>
    <w:rsid w:val="00CE77FC"/>
    <w:rsid w:val="00CF7BAD"/>
    <w:rsid w:val="00D1715F"/>
    <w:rsid w:val="00D2268B"/>
    <w:rsid w:val="00D24B41"/>
    <w:rsid w:val="00D301CE"/>
    <w:rsid w:val="00D34B7D"/>
    <w:rsid w:val="00D52445"/>
    <w:rsid w:val="00D60C53"/>
    <w:rsid w:val="00D6584D"/>
    <w:rsid w:val="00D679FE"/>
    <w:rsid w:val="00D71C10"/>
    <w:rsid w:val="00D72796"/>
    <w:rsid w:val="00D80DFF"/>
    <w:rsid w:val="00D90961"/>
    <w:rsid w:val="00D937AE"/>
    <w:rsid w:val="00DA4E00"/>
    <w:rsid w:val="00DA6C07"/>
    <w:rsid w:val="00DB59CA"/>
    <w:rsid w:val="00DB6FFF"/>
    <w:rsid w:val="00DC351D"/>
    <w:rsid w:val="00DD425C"/>
    <w:rsid w:val="00DD4C49"/>
    <w:rsid w:val="00DD5A7A"/>
    <w:rsid w:val="00DD6EF9"/>
    <w:rsid w:val="00DE654A"/>
    <w:rsid w:val="00DE72F7"/>
    <w:rsid w:val="00DF44CA"/>
    <w:rsid w:val="00DF5F9B"/>
    <w:rsid w:val="00DF7EB4"/>
    <w:rsid w:val="00E13E28"/>
    <w:rsid w:val="00E14E29"/>
    <w:rsid w:val="00E1694C"/>
    <w:rsid w:val="00E268FA"/>
    <w:rsid w:val="00E26CF5"/>
    <w:rsid w:val="00E31477"/>
    <w:rsid w:val="00E34FE5"/>
    <w:rsid w:val="00E36CFF"/>
    <w:rsid w:val="00E633B0"/>
    <w:rsid w:val="00E6376F"/>
    <w:rsid w:val="00E77A25"/>
    <w:rsid w:val="00EA4D5A"/>
    <w:rsid w:val="00EA5028"/>
    <w:rsid w:val="00EB3CB1"/>
    <w:rsid w:val="00EB7B3F"/>
    <w:rsid w:val="00EC315C"/>
    <w:rsid w:val="00EE4176"/>
    <w:rsid w:val="00EF2E43"/>
    <w:rsid w:val="00EF531F"/>
    <w:rsid w:val="00F30EF4"/>
    <w:rsid w:val="00F47DEB"/>
    <w:rsid w:val="00F54E28"/>
    <w:rsid w:val="00F560F8"/>
    <w:rsid w:val="00F604BD"/>
    <w:rsid w:val="00F7269D"/>
    <w:rsid w:val="00F7422D"/>
    <w:rsid w:val="00F97C35"/>
    <w:rsid w:val="00FA63CF"/>
    <w:rsid w:val="00FD2603"/>
    <w:rsid w:val="00FF04BA"/>
    <w:rsid w:val="00FF225C"/>
    <w:rsid w:val="00FF370A"/>
    <w:rsid w:val="00FF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EBE4E"/>
  <w15:docId w15:val="{A7B67938-7BB0-431B-8C1E-3DB4CA69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F9B"/>
  </w:style>
  <w:style w:type="paragraph" w:styleId="Heading1">
    <w:name w:val="heading 1"/>
    <w:basedOn w:val="Normal"/>
    <w:next w:val="Normal"/>
    <w:link w:val="Heading1Char"/>
    <w:uiPriority w:val="9"/>
    <w:qFormat/>
    <w:rsid w:val="00C12B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96FDC"/>
    <w:pPr>
      <w:keepNext/>
      <w:autoSpaceDE w:val="0"/>
      <w:autoSpaceDN w:val="0"/>
      <w:spacing w:before="120" w:after="60" w:line="240" w:lineRule="auto"/>
      <w:outlineLvl w:val="1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496FDC"/>
    <w:pPr>
      <w:keepNext/>
      <w:autoSpaceDE w:val="0"/>
      <w:autoSpaceDN w:val="0"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496FDC"/>
    <w:pPr>
      <w:keepNext/>
      <w:autoSpaceDE w:val="0"/>
      <w:autoSpaceDN w:val="0"/>
      <w:spacing w:before="240" w:after="60" w:line="240" w:lineRule="auto"/>
      <w:ind w:left="1152" w:hanging="720"/>
      <w:outlineLvl w:val="3"/>
    </w:pPr>
    <w:rPr>
      <w:rFonts w:ascii="Times New Roman" w:eastAsia="Times New Roman" w:hAnsi="Times New Roman" w:cs="Times New Roman"/>
      <w:i/>
      <w:iCs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96FDC"/>
    <w:pPr>
      <w:autoSpaceDE w:val="0"/>
      <w:autoSpaceDN w:val="0"/>
      <w:spacing w:before="240" w:after="60" w:line="240" w:lineRule="auto"/>
      <w:ind w:left="1872" w:hanging="720"/>
      <w:outlineLvl w:val="4"/>
    </w:pPr>
    <w:rPr>
      <w:rFonts w:ascii="Times New Roman" w:eastAsia="Times New Roman" w:hAnsi="Times New Roman" w:cs="Times New Roman"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rsid w:val="00496FDC"/>
    <w:pPr>
      <w:autoSpaceDE w:val="0"/>
      <w:autoSpaceDN w:val="0"/>
      <w:spacing w:before="240" w:after="60" w:line="240" w:lineRule="auto"/>
      <w:ind w:left="2592" w:hanging="720"/>
      <w:outlineLvl w:val="5"/>
    </w:pPr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496FDC"/>
    <w:pPr>
      <w:autoSpaceDE w:val="0"/>
      <w:autoSpaceDN w:val="0"/>
      <w:spacing w:before="240" w:after="60" w:line="240" w:lineRule="auto"/>
      <w:ind w:left="3312" w:hanging="720"/>
      <w:outlineLvl w:val="6"/>
    </w:pPr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496FDC"/>
    <w:pPr>
      <w:autoSpaceDE w:val="0"/>
      <w:autoSpaceDN w:val="0"/>
      <w:spacing w:before="240" w:after="60" w:line="240" w:lineRule="auto"/>
      <w:ind w:left="4032" w:hanging="720"/>
      <w:outlineLvl w:val="7"/>
    </w:pPr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rsid w:val="00496FDC"/>
    <w:pPr>
      <w:autoSpaceDE w:val="0"/>
      <w:autoSpaceDN w:val="0"/>
      <w:spacing w:before="240" w:after="60" w:line="240" w:lineRule="auto"/>
      <w:ind w:left="4752" w:hanging="720"/>
      <w:outlineLvl w:val="8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B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6FDC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96FDC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96FDC"/>
    <w:rPr>
      <w:rFonts w:ascii="Times New Roman" w:eastAsia="Times New Roman" w:hAnsi="Times New Roman" w:cs="Times New Roman"/>
      <w:i/>
      <w:iCs/>
      <w:sz w:val="18"/>
      <w:szCs w:val="1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96FDC"/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496FDC"/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496FDC"/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496FDC"/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496FDC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957D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D6C"/>
  </w:style>
  <w:style w:type="paragraph" w:styleId="Footer">
    <w:name w:val="footer"/>
    <w:basedOn w:val="Normal"/>
    <w:link w:val="FooterChar"/>
    <w:unhideWhenUsed/>
    <w:rsid w:val="00957D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D6C"/>
  </w:style>
  <w:style w:type="table" w:styleId="TableGrid">
    <w:name w:val="Table Grid"/>
    <w:basedOn w:val="TableNormal"/>
    <w:uiPriority w:val="39"/>
    <w:rsid w:val="00957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04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B1B52"/>
    <w:rPr>
      <w:color w:val="808080"/>
    </w:rPr>
  </w:style>
  <w:style w:type="paragraph" w:styleId="BodyText">
    <w:name w:val="Body Text"/>
    <w:basedOn w:val="Normal"/>
    <w:link w:val="BodyTextChar"/>
    <w:rsid w:val="00AA46F5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val="es-MX" w:eastAsia="es-CO"/>
    </w:rPr>
  </w:style>
  <w:style w:type="character" w:customStyle="1" w:styleId="BodyTextChar">
    <w:name w:val="Body Text Char"/>
    <w:basedOn w:val="DefaultParagraphFont"/>
    <w:link w:val="BodyText"/>
    <w:rsid w:val="00AA46F5"/>
    <w:rPr>
      <w:rFonts w:ascii="Arial" w:eastAsia="Times New Roman" w:hAnsi="Arial" w:cs="Times New Roman"/>
      <w:sz w:val="20"/>
      <w:szCs w:val="20"/>
      <w:lang w:val="es-MX" w:eastAsia="es-CO"/>
    </w:rPr>
  </w:style>
  <w:style w:type="paragraph" w:styleId="TOC1">
    <w:name w:val="toc 1"/>
    <w:basedOn w:val="Normal"/>
    <w:next w:val="Normal"/>
    <w:uiPriority w:val="39"/>
    <w:rsid w:val="001C1228"/>
    <w:pPr>
      <w:tabs>
        <w:tab w:val="right" w:leader="dot" w:pos="8839"/>
      </w:tabs>
      <w:spacing w:before="60" w:after="60" w:line="240" w:lineRule="auto"/>
      <w:ind w:left="709" w:hanging="709"/>
      <w:jc w:val="both"/>
    </w:pPr>
    <w:rPr>
      <w:rFonts w:ascii="Arial" w:eastAsia="Times New Roman" w:hAnsi="Arial" w:cs="Times New Roman"/>
      <w:b/>
      <w:szCs w:val="20"/>
      <w:lang w:val="es-ES_tradnl" w:eastAsia="es-CO"/>
    </w:rPr>
  </w:style>
  <w:style w:type="paragraph" w:styleId="TOC2">
    <w:name w:val="toc 2"/>
    <w:basedOn w:val="Normal"/>
    <w:next w:val="Normal"/>
    <w:uiPriority w:val="39"/>
    <w:rsid w:val="001C1228"/>
    <w:pPr>
      <w:tabs>
        <w:tab w:val="right" w:leader="dot" w:pos="8839"/>
      </w:tabs>
      <w:spacing w:before="40" w:after="40" w:line="240" w:lineRule="auto"/>
      <w:ind w:left="709" w:hanging="709"/>
    </w:pPr>
    <w:rPr>
      <w:rFonts w:ascii="Arial" w:eastAsia="Times New Roman" w:hAnsi="Arial" w:cs="Times New Roman"/>
      <w:noProof/>
      <w:sz w:val="20"/>
      <w:szCs w:val="20"/>
      <w:lang w:val="es-ES_tradnl" w:eastAsia="es-CO"/>
    </w:rPr>
  </w:style>
  <w:style w:type="paragraph" w:styleId="TOC3">
    <w:name w:val="toc 3"/>
    <w:basedOn w:val="Normal"/>
    <w:next w:val="Normal"/>
    <w:uiPriority w:val="39"/>
    <w:rsid w:val="001C1228"/>
    <w:pPr>
      <w:tabs>
        <w:tab w:val="right" w:leader="dot" w:pos="8839"/>
      </w:tabs>
      <w:spacing w:after="20" w:line="240" w:lineRule="auto"/>
      <w:ind w:left="709" w:hanging="709"/>
    </w:pPr>
    <w:rPr>
      <w:rFonts w:ascii="Arial" w:eastAsia="Times New Roman" w:hAnsi="Arial" w:cs="Times New Roman"/>
      <w:noProof/>
      <w:sz w:val="20"/>
      <w:szCs w:val="20"/>
      <w:lang w:val="es-ES_tradnl" w:eastAsia="es-CO"/>
    </w:rPr>
  </w:style>
  <w:style w:type="paragraph" w:styleId="Title">
    <w:name w:val="Title"/>
    <w:basedOn w:val="Normal"/>
    <w:link w:val="TitleChar"/>
    <w:qFormat/>
    <w:rsid w:val="001C1228"/>
    <w:pPr>
      <w:spacing w:before="240" w:after="360" w:line="240" w:lineRule="auto"/>
      <w:jc w:val="center"/>
    </w:pPr>
    <w:rPr>
      <w:rFonts w:ascii="Arial" w:eastAsia="Times New Roman" w:hAnsi="Arial" w:cs="Times New Roman"/>
      <w:b/>
      <w:kern w:val="28"/>
      <w:sz w:val="24"/>
      <w:szCs w:val="20"/>
      <w:lang w:val="es-ES_tradnl" w:eastAsia="es-CO"/>
    </w:rPr>
  </w:style>
  <w:style w:type="character" w:customStyle="1" w:styleId="TitleChar">
    <w:name w:val="Title Char"/>
    <w:basedOn w:val="DefaultParagraphFont"/>
    <w:link w:val="Title"/>
    <w:rsid w:val="001C1228"/>
    <w:rPr>
      <w:rFonts w:ascii="Arial" w:eastAsia="Times New Roman" w:hAnsi="Arial" w:cs="Times New Roman"/>
      <w:b/>
      <w:kern w:val="28"/>
      <w:sz w:val="24"/>
      <w:szCs w:val="20"/>
      <w:lang w:val="es-ES_tradnl" w:eastAsia="es-CO"/>
    </w:rPr>
  </w:style>
  <w:style w:type="paragraph" w:styleId="TableofFigures">
    <w:name w:val="table of figures"/>
    <w:basedOn w:val="Normal"/>
    <w:next w:val="Normal"/>
    <w:semiHidden/>
    <w:rsid w:val="001C1228"/>
    <w:pPr>
      <w:tabs>
        <w:tab w:val="right" w:leader="dot" w:pos="8839"/>
      </w:tabs>
      <w:spacing w:before="20" w:after="20" w:line="240" w:lineRule="auto"/>
      <w:ind w:left="482" w:hanging="482"/>
      <w:jc w:val="both"/>
    </w:pPr>
    <w:rPr>
      <w:rFonts w:ascii="Arial" w:eastAsia="Times New Roman" w:hAnsi="Arial" w:cs="Times New Roman"/>
      <w:sz w:val="20"/>
      <w:szCs w:val="20"/>
      <w:lang w:val="es-ES_tradnl" w:eastAsia="es-CO"/>
    </w:rPr>
  </w:style>
  <w:style w:type="paragraph" w:styleId="TOCHeading">
    <w:name w:val="TOC Heading"/>
    <w:basedOn w:val="Heading1"/>
    <w:next w:val="Normal"/>
    <w:uiPriority w:val="39"/>
    <w:unhideWhenUsed/>
    <w:qFormat/>
    <w:rsid w:val="00C12B0C"/>
    <w:pPr>
      <w:outlineLvl w:val="9"/>
    </w:pPr>
    <w:rPr>
      <w:lang w:eastAsia="es-CO"/>
    </w:rPr>
  </w:style>
  <w:style w:type="character" w:styleId="Hyperlink">
    <w:name w:val="Hyperlink"/>
    <w:basedOn w:val="DefaultParagraphFont"/>
    <w:uiPriority w:val="99"/>
    <w:unhideWhenUsed/>
    <w:rsid w:val="00C12B0C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169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bstract">
    <w:name w:val="Abstract"/>
    <w:basedOn w:val="Normal"/>
    <w:next w:val="Normal"/>
    <w:rsid w:val="00496FDC"/>
    <w:pPr>
      <w:autoSpaceDE w:val="0"/>
      <w:autoSpaceDN w:val="0"/>
      <w:spacing w:before="20" w:after="0" w:line="240" w:lineRule="auto"/>
      <w:ind w:firstLine="202"/>
      <w:jc w:val="both"/>
    </w:pPr>
    <w:rPr>
      <w:rFonts w:ascii="Times New Roman" w:eastAsia="Times New Roman" w:hAnsi="Times New Roman" w:cs="Times New Roman"/>
      <w:b/>
      <w:bCs/>
      <w:sz w:val="18"/>
      <w:szCs w:val="18"/>
      <w:lang w:val="en-US"/>
    </w:rPr>
  </w:style>
  <w:style w:type="paragraph" w:customStyle="1" w:styleId="Authors">
    <w:name w:val="Authors"/>
    <w:basedOn w:val="Normal"/>
    <w:next w:val="Normal"/>
    <w:rsid w:val="00496FDC"/>
    <w:pPr>
      <w:framePr w:w="9072" w:hSpace="187" w:vSpace="187" w:wrap="notBeside" w:vAnchor="text" w:hAnchor="page" w:xAlign="center" w:y="1"/>
      <w:autoSpaceDE w:val="0"/>
      <w:autoSpaceDN w:val="0"/>
      <w:spacing w:after="32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character" w:customStyle="1" w:styleId="MemberType">
    <w:name w:val="MemberType"/>
    <w:rsid w:val="00496FDC"/>
    <w:rPr>
      <w:rFonts w:ascii="Times New Roman" w:hAnsi="Times New Roman" w:cs="Times New Roman"/>
      <w:i/>
      <w:iCs/>
      <w:sz w:val="22"/>
      <w:szCs w:val="22"/>
    </w:rPr>
  </w:style>
  <w:style w:type="paragraph" w:styleId="FootnoteText">
    <w:name w:val="footnote text"/>
    <w:basedOn w:val="Normal"/>
    <w:link w:val="FootnoteTextChar"/>
    <w:semiHidden/>
    <w:rsid w:val="00496FDC"/>
    <w:pPr>
      <w:autoSpaceDE w:val="0"/>
      <w:autoSpaceDN w:val="0"/>
      <w:spacing w:after="0" w:line="240" w:lineRule="auto"/>
      <w:ind w:firstLine="202"/>
      <w:jc w:val="both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496FDC"/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References">
    <w:name w:val="References"/>
    <w:basedOn w:val="Normal"/>
    <w:rsid w:val="00496FDC"/>
    <w:pPr>
      <w:numPr>
        <w:numId w:val="6"/>
      </w:num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IndexTerms">
    <w:name w:val="IndexTerms"/>
    <w:basedOn w:val="Normal"/>
    <w:next w:val="Normal"/>
    <w:rsid w:val="00496FDC"/>
    <w:pPr>
      <w:autoSpaceDE w:val="0"/>
      <w:autoSpaceDN w:val="0"/>
      <w:spacing w:after="0" w:line="240" w:lineRule="auto"/>
      <w:ind w:firstLine="202"/>
      <w:jc w:val="both"/>
    </w:pPr>
    <w:rPr>
      <w:rFonts w:ascii="Times New Roman" w:eastAsia="Times New Roman" w:hAnsi="Times New Roman" w:cs="Times New Roman"/>
      <w:b/>
      <w:bCs/>
      <w:sz w:val="18"/>
      <w:szCs w:val="18"/>
      <w:lang w:val="en-US"/>
    </w:rPr>
  </w:style>
  <w:style w:type="paragraph" w:customStyle="1" w:styleId="Text">
    <w:name w:val="Text"/>
    <w:basedOn w:val="Normal"/>
    <w:rsid w:val="00496FDC"/>
    <w:pPr>
      <w:widowControl w:val="0"/>
      <w:autoSpaceDE w:val="0"/>
      <w:autoSpaceDN w:val="0"/>
      <w:spacing w:after="0"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FigureCaption">
    <w:name w:val="Figure Caption"/>
    <w:basedOn w:val="Normal"/>
    <w:rsid w:val="00496FDC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TableTitle">
    <w:name w:val="Table Title"/>
    <w:basedOn w:val="Normal"/>
    <w:rsid w:val="00496FDC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mallCaps/>
      <w:sz w:val="16"/>
      <w:szCs w:val="16"/>
      <w:lang w:val="en-US"/>
    </w:rPr>
  </w:style>
  <w:style w:type="paragraph" w:customStyle="1" w:styleId="ReferenceHead">
    <w:name w:val="Reference Head"/>
    <w:basedOn w:val="Heading1"/>
    <w:rsid w:val="00496FDC"/>
    <w:pPr>
      <w:keepLines w:val="0"/>
      <w:autoSpaceDE w:val="0"/>
      <w:autoSpaceDN w:val="0"/>
      <w:spacing w:after="80" w:line="240" w:lineRule="auto"/>
      <w:jc w:val="center"/>
    </w:pPr>
    <w:rPr>
      <w:rFonts w:ascii="Times New Roman" w:eastAsia="Times New Roman" w:hAnsi="Times New Roman" w:cs="Times New Roman"/>
      <w:smallCaps/>
      <w:color w:val="auto"/>
      <w:kern w:val="28"/>
      <w:sz w:val="20"/>
      <w:szCs w:val="20"/>
      <w:lang w:val="en-US"/>
    </w:rPr>
  </w:style>
  <w:style w:type="paragraph" w:customStyle="1" w:styleId="Equation">
    <w:name w:val="Equation"/>
    <w:basedOn w:val="Normal"/>
    <w:next w:val="Normal"/>
    <w:rsid w:val="00496FDC"/>
    <w:pPr>
      <w:widowControl w:val="0"/>
      <w:tabs>
        <w:tab w:val="right" w:pos="5040"/>
      </w:tabs>
      <w:autoSpaceDE w:val="0"/>
      <w:autoSpaceDN w:val="0"/>
      <w:spacing w:after="0" w:line="252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Number">
    <w:name w:val="List Number"/>
    <w:basedOn w:val="Normal"/>
    <w:rsid w:val="00496FDC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customStyle="1" w:styleId="apple-converted-space">
    <w:name w:val="apple-converted-space"/>
    <w:rsid w:val="00496FDC"/>
  </w:style>
  <w:style w:type="paragraph" w:styleId="BalloonText">
    <w:name w:val="Balloon Text"/>
    <w:basedOn w:val="Normal"/>
    <w:link w:val="BalloonTextChar"/>
    <w:rsid w:val="00496FDC"/>
    <w:pPr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rsid w:val="00496FDC"/>
    <w:rPr>
      <w:rFonts w:ascii="Tahoma" w:eastAsia="Times New Roman" w:hAnsi="Tahoma" w:cs="Tahoma"/>
      <w:sz w:val="16"/>
      <w:szCs w:val="16"/>
      <w:lang w:val="en-US"/>
    </w:rPr>
  </w:style>
  <w:style w:type="table" w:customStyle="1" w:styleId="Tablaconcuadrcula1">
    <w:name w:val="Tabla con cuadrícula1"/>
    <w:basedOn w:val="TableNormal"/>
    <w:next w:val="TableGrid"/>
    <w:uiPriority w:val="59"/>
    <w:rsid w:val="00496FDC"/>
    <w:pPr>
      <w:spacing w:after="0" w:line="240" w:lineRule="auto"/>
    </w:pPr>
    <w:rPr>
      <w:rFonts w:ascii="Calibri" w:eastAsia="Calibri" w:hAnsi="Calibri" w:cs="Calibri"/>
      <w:color w:val="00000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96FD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CO"/>
    </w:rPr>
  </w:style>
  <w:style w:type="table" w:customStyle="1" w:styleId="Tablaconcuadrcula2">
    <w:name w:val="Tabla con cuadrícula2"/>
    <w:basedOn w:val="TableNormal"/>
    <w:next w:val="TableGrid"/>
    <w:uiPriority w:val="39"/>
    <w:rsid w:val="0031244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7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ommentReference">
    <w:name w:val="annotation reference"/>
    <w:basedOn w:val="DefaultParagraphFont"/>
    <w:uiPriority w:val="99"/>
    <w:semiHidden/>
    <w:unhideWhenUsed/>
    <w:rsid w:val="00722B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2B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2B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B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B84"/>
    <w:rPr>
      <w:b/>
      <w:bCs/>
      <w:sz w:val="20"/>
      <w:szCs w:val="20"/>
    </w:rPr>
  </w:style>
  <w:style w:type="numbering" w:customStyle="1" w:styleId="Estilo1">
    <w:name w:val="Estilo1"/>
    <w:uiPriority w:val="99"/>
    <w:rsid w:val="00314907"/>
    <w:pPr>
      <w:numPr>
        <w:numId w:val="30"/>
      </w:numPr>
    </w:pPr>
  </w:style>
  <w:style w:type="character" w:styleId="PageNumber">
    <w:name w:val="page number"/>
    <w:basedOn w:val="DefaultParagraphFont"/>
    <w:uiPriority w:val="99"/>
    <w:semiHidden/>
    <w:unhideWhenUsed/>
    <w:rsid w:val="00B70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5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4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D6DFC-5867-4806-87AB-097EC9A89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8137</Words>
  <Characters>44755</Characters>
  <Application>Microsoft Office Word</Application>
  <DocSecurity>0</DocSecurity>
  <Lines>372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LAGERENCIA</Company>
  <LinksUpToDate>false</LinksUpToDate>
  <CharactersWithSpaces>52787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ENVY</dc:creator>
  <cp:lastModifiedBy>Juan Barceló Barraza</cp:lastModifiedBy>
  <cp:revision>3</cp:revision>
  <cp:lastPrinted>2018-04-07T06:02:00Z</cp:lastPrinted>
  <dcterms:created xsi:type="dcterms:W3CDTF">2026-09-25T22:24:00Z</dcterms:created>
  <dcterms:modified xsi:type="dcterms:W3CDTF">2026-09-28T19:39:00Z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f5b0119b-59b5-3b58-a97c-b2729d91c8e1</vt:lpwstr>
  </property>
  <property fmtid="{D5CDD505-2E9C-101B-9397-08002B2CF9AE}" pid="24" name="Mendeley Citation Style_1">
    <vt:lpwstr>http://www.zotero.org/styles/ieee</vt:lpwstr>
  </property>
</Properties>
</file>