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Augur: fuentes, datos, software y referencias</w:t>
      </w:r>
    </w:p>
    <w:p>
      <w:pPr>
        <w:pBdr>
          <w:bottom w:val="single" w:sz="8" w:space="4" w:color="B45309"/>
        </w:pBdr>
      </w:pPr>
      <w:r>
        <w:rPr>
          <w:color w:val="555555"/>
          <w:sz w:val="20"/>
        </w:rPr>
        <w:t>Insumo para el paper · todo lo que el proyecto leyó o usó · versión del 23 de octubre de 2026</w:t>
      </w:r>
    </w:p>
    <w:p>
      <w:r>
        <w:t>Este documento reúne, en un solo lugar, los papers, la regulación, las fuentes de datos, las librerías y las herramientas que se usaron en Augur, la plataforma de pronóstico horario del precio de bolsa colombiano con motor de decisión. Cada entrada trae la cita en formato IEEE, el enlace o DOI y una línea sobre para qué se usó en el proyecto, para que se pueda decidir rápido qué citar y dónde.</w:t>
      </w:r>
    </w:p>
    <w:p>
      <w:r>
        <w:t>Cada entrada lleva una marca de estado:</w:t>
      </w:r>
    </w:p>
    <w:p>
      <w:pPr>
        <w:pStyle w:val="ListBullet"/>
      </w:pPr>
      <w:r>
        <w:rPr>
          <w:b/>
          <w:color w:val="B45309"/>
        </w:rPr>
        <w:t xml:space="preserve">[C] </w:t>
      </w:r>
      <w:r>
        <w:t>citada en el informe final del proyecto (datos verificados contra Crossref).</w:t>
      </w:r>
    </w:p>
    <w:p>
      <w:pPr>
        <w:pStyle w:val="ListBullet"/>
      </w:pPr>
      <w:r>
        <w:rPr>
          <w:b/>
          <w:color w:val="B45309"/>
        </w:rPr>
        <w:t xml:space="preserve">[L] </w:t>
      </w:r>
      <w:r>
        <w:t>leída o usada en el proyecto, todavía no citada en el informe.</w:t>
      </w:r>
    </w:p>
    <w:p>
      <w:pPr>
        <w:pStyle w:val="ListBullet"/>
      </w:pPr>
      <w:r>
        <w:rPr>
          <w:b/>
          <w:color w:val="B45309"/>
        </w:rPr>
        <w:t xml:space="preserve">[S] </w:t>
      </w:r>
      <w:r>
        <w:t>sugerida: respalda un método que el proyecto sí usa, pero el original no se leyó.</w:t>
      </w:r>
    </w:p>
    <w:p>
      <w:pPr>
        <w:pStyle w:val="ListBullet"/>
      </w:pPr>
      <w:r>
        <w:rPr>
          <w:b/>
          <w:color w:val="B45309"/>
        </w:rPr>
        <w:t xml:space="preserve">[V] </w:t>
      </w:r>
      <w:r>
        <w:t>verificar los datos bibliográficos contra el original antes de citarla.</w:t>
      </w:r>
    </w:p>
    <w:p>
      <w:r>
        <w:t>Los PDF de la mayoría de los papers de las secciones 1, 3, 5 y 6 están en docs/papers/ del repositorio, con una ficha de cada uno (y las cautelas al citarlo) en docs/papers/REFERENCIAS.md.</w:t>
      </w:r>
    </w:p>
    <w:p>
      <w:pPr>
        <w:pStyle w:val="Heading1"/>
      </w:pPr>
      <w:r>
        <w:t>1. Pronóstico de precios de electricidad: métodos que usa el modelo</w:t>
      </w:r>
    </w:p>
    <w:p>
      <w:pPr>
        <w:tabs>
          <w:tab w:pos="624" w:val="left"/>
        </w:tabs>
        <w:spacing w:after="20"/>
        <w:ind w:left="624" w:hanging="624"/>
      </w:pPr>
      <w:r>
        <w:rPr>
          <w:b/>
          <w:color w:val="B45309"/>
        </w:rPr>
        <w:t>[C]</w:t>
        <w:tab/>
      </w:r>
      <w:r>
        <w:t>R. Weron, "Electricity price forecasting: A review of the state-of-the-art with a look into the future," Int. J. Forecast., vol. 30, no. 4, pp. 1030–1081, 2014.</w:t>
      </w:r>
    </w:p>
    <w:p>
      <w:pPr>
        <w:spacing w:after="140"/>
        <w:ind w:left="624"/>
      </w:pPr>
      <w:r>
        <w:rPr>
          <w:color w:val="555555"/>
          <w:sz w:val="18"/>
        </w:rPr>
        <w:t>doi: 10.1016/j.ijforecast.2014.08.008</w:t>
        <w:br/>
      </w:r>
      <w:r>
        <w:rPr>
          <w:b/>
          <w:sz w:val="19"/>
        </w:rPr>
        <w:t xml:space="preserve">Uso en Augur: </w:t>
      </w:r>
      <w:r>
        <w:rPr>
          <w:sz w:val="19"/>
        </w:rPr>
        <w:t>Revisión de base del área (EPF). Marco general del problema.</w:t>
      </w:r>
    </w:p>
    <w:p>
      <w:pPr>
        <w:tabs>
          <w:tab w:pos="624" w:val="left"/>
        </w:tabs>
        <w:spacing w:after="20"/>
        <w:ind w:left="624" w:hanging="624"/>
      </w:pPr>
      <w:r>
        <w:rPr>
          <w:b/>
          <w:color w:val="B45309"/>
        </w:rPr>
        <w:t>[C]</w:t>
        <w:tab/>
      </w:r>
      <w:r>
        <w:t>J. Lago, G. Marcjasz, B. De Schutter y R. Weron, "Forecasting day-ahead electricity prices: A review of state-of-the-art algorithms, best practices and an open-access benchmark," Appl. Energy, vol. 293, art. 116983, 2021.</w:t>
      </w:r>
    </w:p>
    <w:p>
      <w:pPr>
        <w:spacing w:after="140"/>
        <w:ind w:left="624"/>
      </w:pPr>
      <w:r>
        <w:rPr>
          <w:color w:val="555555"/>
          <w:sz w:val="18"/>
        </w:rPr>
        <w:t>doi: 10.1016/j.apenergy.2021.116983 · arXiv:2008.08004</w:t>
        <w:br/>
      </w:r>
      <w:r>
        <w:rPr>
          <w:b/>
          <w:sz w:val="19"/>
        </w:rPr>
        <w:t xml:space="preserve">Uso en Augur: </w:t>
      </w:r>
      <w:r>
        <w:rPr>
          <w:sz w:val="19"/>
        </w:rPr>
        <w:t>Define el LEAR (un LASSO por hora) y las buenas prácticas de evaluación: Diebold-Mariano, rMAE contra persistencia, protocolo day-ahead. Respalda el rMAE mensual y la persistencia de 7 días.</w:t>
      </w:r>
    </w:p>
    <w:p>
      <w:pPr>
        <w:tabs>
          <w:tab w:pos="624" w:val="left"/>
        </w:tabs>
        <w:spacing w:after="20"/>
        <w:ind w:left="624" w:hanging="624"/>
      </w:pPr>
      <w:r>
        <w:rPr>
          <w:b/>
          <w:color w:val="B45309"/>
        </w:rPr>
        <w:t>[C]</w:t>
        <w:tab/>
      </w:r>
      <w:r>
        <w:t>F. Ziel y R. Weron, "Day-ahead electricity price forecasting with high-dimensional structures: Univariate vs. multivariate modeling frameworks," Energy Econ., vol. 70, pp. 396–420, 2018.</w:t>
      </w:r>
    </w:p>
    <w:p>
      <w:pPr>
        <w:spacing w:after="140"/>
        <w:ind w:left="624"/>
      </w:pPr>
      <w:r>
        <w:rPr>
          <w:color w:val="555555"/>
          <w:sz w:val="18"/>
        </w:rPr>
        <w:t>doi: 10.1016/j.eneco.2017.12.016</w:t>
        <w:br/>
      </w:r>
      <w:r>
        <w:rPr>
          <w:b/>
          <w:sz w:val="19"/>
        </w:rPr>
        <w:t xml:space="preserve">Uso en Augur: </w:t>
      </w:r>
      <w:r>
        <w:rPr>
          <w:sz w:val="19"/>
        </w:rPr>
        <w:t>Explica el salto de medianoche: las 24 horas de un día salen de una sola subasta. Marco multivariante.</w:t>
      </w:r>
    </w:p>
    <w:p>
      <w:pPr>
        <w:tabs>
          <w:tab w:pos="624" w:val="left"/>
        </w:tabs>
        <w:spacing w:after="20"/>
        <w:ind w:left="624" w:hanging="624"/>
      </w:pPr>
      <w:r>
        <w:rPr>
          <w:b/>
          <w:color w:val="B45309"/>
        </w:rPr>
        <w:t>[C]</w:t>
        <w:tab/>
      </w:r>
      <w:r>
        <w:t>J. Nowotarski y R. Weron, "Computing electricity spot price prediction intervals using quantile regression and forecast averaging," Comput. Stat., vol. 30, no. 3, pp. 791–803, 2015.</w:t>
      </w:r>
    </w:p>
    <w:p>
      <w:pPr>
        <w:spacing w:after="140"/>
        <w:ind w:left="624"/>
      </w:pPr>
      <w:r>
        <w:rPr>
          <w:color w:val="555555"/>
          <w:sz w:val="18"/>
        </w:rPr>
        <w:t>doi: 10.1007/s00180-014-0523-0</w:t>
        <w:br/>
      </w:r>
      <w:r>
        <w:rPr>
          <w:b/>
          <w:sz w:val="19"/>
        </w:rPr>
        <w:t xml:space="preserve">Uso en Augur: </w:t>
      </w:r>
      <w:r>
        <w:rPr>
          <w:sz w:val="19"/>
        </w:rPr>
        <w:t>QRA: el combinador del modelo en producción (predespacho + 3 CatBoost, por bloques de 6 h) y sus cuantiles.</w:t>
      </w:r>
    </w:p>
    <w:p>
      <w:pPr>
        <w:tabs>
          <w:tab w:pos="624" w:val="left"/>
        </w:tabs>
        <w:spacing w:after="20"/>
        <w:ind w:left="624" w:hanging="624"/>
      </w:pPr>
      <w:r>
        <w:rPr>
          <w:b/>
          <w:color w:val="B45309"/>
        </w:rPr>
        <w:t>[C]</w:t>
        <w:tab/>
      </w:r>
      <w:r>
        <w:t>L. Prokhorenkova, G. Gusev, A. Vorobev, A. V. Dorogush y A. Gulin, "CatBoost: unbiased boosting with categorical features," en Adv. Neural Inf. Process. Syst. 31 (NeurIPS 2018), 2018.</w:t>
      </w:r>
    </w:p>
    <w:p>
      <w:pPr>
        <w:spacing w:after="140"/>
        <w:ind w:left="624"/>
      </w:pPr>
      <w:r>
        <w:rPr>
          <w:color w:val="555555"/>
          <w:sz w:val="18"/>
        </w:rPr>
        <w:t>arXiv:1706.09516</w:t>
        <w:br/>
      </w:r>
      <w:r>
        <w:rPr>
          <w:b/>
          <w:sz w:val="19"/>
        </w:rPr>
        <w:t xml:space="preserve">Uso en Augur: </w:t>
      </w:r>
      <w:r>
        <w:rPr>
          <w:sz w:val="19"/>
        </w:rPr>
        <w:t>Algoritmo de los tres modelos de corrección del predespacho en producción.</w:t>
      </w:r>
    </w:p>
    <w:p>
      <w:pPr>
        <w:tabs>
          <w:tab w:pos="624" w:val="left"/>
        </w:tabs>
        <w:spacing w:after="20"/>
        <w:ind w:left="624" w:hanging="624"/>
      </w:pPr>
      <w:r>
        <w:rPr>
          <w:b/>
          <w:color w:val="B45309"/>
        </w:rPr>
        <w:t>[C]</w:t>
        <w:tab/>
      </w:r>
      <w:r>
        <w:t>T. Chen y C. Guestrin, "XGBoost: A scalable tree boosting system," en Proc. 22nd ACM SIGKDD, 2016, pp. 785–794.</w:t>
      </w:r>
    </w:p>
    <w:p>
      <w:pPr>
        <w:spacing w:after="140"/>
        <w:ind w:left="624"/>
      </w:pPr>
      <w:r>
        <w:rPr>
          <w:color w:val="555555"/>
          <w:sz w:val="18"/>
        </w:rPr>
        <w:t>doi: 10.1145/2939672.2939785</w:t>
        <w:br/>
      </w:r>
      <w:r>
        <w:rPr>
          <w:b/>
          <w:sz w:val="19"/>
        </w:rPr>
        <w:t xml:space="preserve">Uso en Augur: </w:t>
      </w:r>
      <w:r>
        <w:rPr>
          <w:sz w:val="19"/>
        </w:rPr>
        <w:t>Modelo de la primera etapa y uno de los comparados en el benchmark del escenario realista.</w:t>
      </w:r>
    </w:p>
    <w:p>
      <w:pPr>
        <w:tabs>
          <w:tab w:pos="624" w:val="left"/>
        </w:tabs>
        <w:spacing w:after="20"/>
        <w:ind w:left="624" w:hanging="624"/>
      </w:pPr>
      <w:r>
        <w:rPr>
          <w:b/>
          <w:color w:val="B45309"/>
        </w:rPr>
        <w:t>[S]</w:t>
        <w:tab/>
      </w:r>
      <w:r>
        <w:t>G. Ke, Q. Meng, T. Finley, T. Wang, W. Chen, W. Ma, Q. Ye y T.-Y. Liu, "LightGBM: A highly efficient gradient boosting decision tree," en Adv. Neural Inf. Process. Syst. 30 (NIPS 2017), 2017.</w:t>
      </w:r>
    </w:p>
    <w:p>
      <w:pPr>
        <w:spacing w:after="140"/>
        <w:ind w:left="624"/>
      </w:pPr>
      <w:r>
        <w:rPr>
          <w:color w:val="555555"/>
          <w:sz w:val="18"/>
        </w:rPr>
        <w:t>proceedings.neurips.cc (NIPS 2017)</w:t>
        <w:br/>
      </w:r>
      <w:r>
        <w:rPr>
          <w:b/>
          <w:sz w:val="19"/>
        </w:rPr>
        <w:t xml:space="preserve">Uso en Augur: </w:t>
      </w:r>
      <w:r>
        <w:rPr>
          <w:sz w:val="19"/>
        </w:rPr>
        <w:t>LightGBM en el benchmark (empata con CatBoost) y base del HistGradientBoosting del detector de picos de 72 h.</w:t>
      </w:r>
    </w:p>
    <w:p>
      <w:pPr>
        <w:tabs>
          <w:tab w:pos="624" w:val="left"/>
        </w:tabs>
        <w:spacing w:after="20"/>
        <w:ind w:left="624" w:hanging="624"/>
      </w:pPr>
      <w:r>
        <w:rPr>
          <w:b/>
          <w:color w:val="B45309"/>
        </w:rPr>
        <w:t>[S]</w:t>
        <w:tab/>
      </w:r>
      <w:r>
        <w:t>L. Breiman, "Random forests," Mach. Learn., vol. 45, no. 1, pp. 5–32, 2001.</w:t>
      </w:r>
    </w:p>
    <w:p>
      <w:pPr>
        <w:spacing w:after="140"/>
        <w:ind w:left="624"/>
      </w:pPr>
      <w:r>
        <w:rPr>
          <w:color w:val="555555"/>
          <w:sz w:val="18"/>
        </w:rPr>
        <w:t>doi: 10.1023/A:1010933404324</w:t>
        <w:br/>
      </w:r>
      <w:r>
        <w:rPr>
          <w:b/>
          <w:sz w:val="19"/>
        </w:rPr>
        <w:t xml:space="preserve">Uso en Augur: </w:t>
      </w:r>
      <w:r>
        <w:rPr>
          <w:sz w:val="19"/>
        </w:rPr>
        <w:t>Random Forest en el benchmark del escenario realista; también origen de la importancia por permutación.</w:t>
      </w:r>
    </w:p>
    <w:p>
      <w:pPr>
        <w:tabs>
          <w:tab w:pos="624" w:val="left"/>
        </w:tabs>
        <w:spacing w:after="20"/>
        <w:ind w:left="624" w:hanging="624"/>
      </w:pPr>
      <w:r>
        <w:rPr>
          <w:b/>
          <w:color w:val="B45309"/>
        </w:rPr>
        <w:t>[C]</w:t>
        <w:tab/>
      </w:r>
      <w:r>
        <w:t>R. Tibshirani, "Regression shrinkage and selection via the lasso," J. R. Stat. Soc. Ser. B, vol. 58, no. 1, pp. 267–288, 1996.</w:t>
      </w:r>
    </w:p>
    <w:p>
      <w:pPr>
        <w:spacing w:after="140"/>
        <w:ind w:left="624"/>
      </w:pPr>
      <w:r>
        <w:rPr>
          <w:color w:val="555555"/>
          <w:sz w:val="18"/>
        </w:rPr>
        <w:t>doi: 10.1111/j.2517-6161.1996.tb02080.x</w:t>
        <w:br/>
      </w:r>
      <w:r>
        <w:rPr>
          <w:b/>
          <w:sz w:val="19"/>
        </w:rPr>
        <w:t xml:space="preserve">Uso en Augur: </w:t>
      </w:r>
      <w:r>
        <w:rPr>
          <w:sz w:val="19"/>
        </w:rPr>
        <w:t>LASSO del LEAR y del Lasso del benchmark.</w:t>
      </w:r>
    </w:p>
    <w:p>
      <w:pPr>
        <w:tabs>
          <w:tab w:pos="624" w:val="left"/>
        </w:tabs>
        <w:spacing w:after="20"/>
        <w:ind w:left="624" w:hanging="624"/>
      </w:pPr>
      <w:r>
        <w:rPr>
          <w:b/>
          <w:color w:val="B45309"/>
        </w:rPr>
        <w:t>[C]</w:t>
        <w:tab/>
      </w:r>
      <w:r>
        <w:t>K. G. Olivares, C. Challu, G. Marcjasz, R. Weron y A. Dubrawski, "Neural basis expansion analysis with exogenous variables: Forecasting electricity prices with NBEATSx," Int. J. Forecast., vol. 39, no. 2, pp. 884–900, 2023.</w:t>
      </w:r>
    </w:p>
    <w:p>
      <w:pPr>
        <w:spacing w:after="140"/>
        <w:ind w:left="624"/>
      </w:pPr>
      <w:r>
        <w:rPr>
          <w:color w:val="555555"/>
          <w:sz w:val="18"/>
        </w:rPr>
        <w:t>doi: 10.1016/j.ijforecast.2022.03.001</w:t>
        <w:br/>
      </w:r>
      <w:r>
        <w:rPr>
          <w:b/>
          <w:sz w:val="19"/>
        </w:rPr>
        <w:t xml:space="preserve">Uso en Augur: </w:t>
      </w:r>
      <w:r>
        <w:rPr>
          <w:sz w:val="19"/>
        </w:rPr>
        <w:t>N-BEATSx, votante del ensamble de la primera etapa (notebook 09).</w:t>
      </w:r>
    </w:p>
    <w:p>
      <w:pPr>
        <w:tabs>
          <w:tab w:pos="624" w:val="left"/>
        </w:tabs>
        <w:spacing w:after="20"/>
        <w:ind w:left="624" w:hanging="624"/>
      </w:pPr>
      <w:r>
        <w:rPr>
          <w:b/>
          <w:color w:val="B45309"/>
        </w:rPr>
        <w:t>[C]</w:t>
        <w:tab/>
      </w:r>
      <w:r>
        <w:t>C. Challu, K. G. Olivares, B. N. Oreshkin, F. Garza Ramírez, M. Mergenthaler Canseco y A. Dubrawski, "NHITS: Neural hierarchical interpolation for time series forecasting," en Proc. AAAI, vol. 37, no. 6, 2023, pp. 6989–6997.</w:t>
      </w:r>
    </w:p>
    <w:p>
      <w:pPr>
        <w:spacing w:after="140"/>
        <w:ind w:left="624"/>
      </w:pPr>
      <w:r>
        <w:rPr>
          <w:color w:val="555555"/>
          <w:sz w:val="18"/>
        </w:rPr>
        <w:t>doi: 10.1609/aaai.v37i6.25854</w:t>
        <w:br/>
      </w:r>
      <w:r>
        <w:rPr>
          <w:b/>
          <w:sz w:val="19"/>
        </w:rPr>
        <w:t xml:space="preserve">Uso en Augur: </w:t>
      </w:r>
      <w:r>
        <w:rPr>
          <w:sz w:val="19"/>
        </w:rPr>
        <w:t>N-HiTS, votante del ensamble de la primera etapa.</w:t>
      </w:r>
    </w:p>
    <w:p>
      <w:pPr>
        <w:tabs>
          <w:tab w:pos="624" w:val="left"/>
        </w:tabs>
        <w:spacing w:after="20"/>
        <w:ind w:left="624" w:hanging="624"/>
      </w:pPr>
      <w:r>
        <w:rPr>
          <w:b/>
          <w:color w:val="B45309"/>
        </w:rPr>
        <w:t>[S]</w:t>
        <w:tab/>
      </w:r>
      <w:r>
        <w:t>B. N. Oreshkin, D. Carpov, N. Chapados y Y. Bengio, "N-BEATS: Neural basis expansion analysis for interpretable time series forecasting," en Proc. ICLR, 2020.</w:t>
      </w:r>
    </w:p>
    <w:p>
      <w:pPr>
        <w:spacing w:after="140"/>
        <w:ind w:left="624"/>
      </w:pPr>
      <w:r>
        <w:rPr>
          <w:color w:val="555555"/>
          <w:sz w:val="18"/>
        </w:rPr>
        <w:t>arXiv:1905.10437</w:t>
        <w:br/>
      </w:r>
      <w:r>
        <w:rPr>
          <w:b/>
          <w:sz w:val="19"/>
        </w:rPr>
        <w:t xml:space="preserve">Uso en Augur: </w:t>
      </w:r>
      <w:r>
        <w:rPr>
          <w:sz w:val="19"/>
        </w:rPr>
        <w:t>Arquitectura original de la que derivan N-BEATSx y N-HiTS.</w:t>
      </w:r>
    </w:p>
    <w:p>
      <w:pPr>
        <w:tabs>
          <w:tab w:pos="624" w:val="left"/>
        </w:tabs>
        <w:spacing w:after="20"/>
        <w:ind w:left="624" w:hanging="624"/>
      </w:pPr>
      <w:r>
        <w:rPr>
          <w:b/>
          <w:color w:val="B45309"/>
        </w:rPr>
        <w:t>[C]</w:t>
        <w:tab/>
      </w:r>
      <w:r>
        <w:t>T. Bollerslev, "Generalized autoregressive conditional heteroskedasticity," J. Econometrics, vol. 31, no. 3, pp. 307–327, 1986.</w:t>
      </w:r>
    </w:p>
    <w:p>
      <w:pPr>
        <w:spacing w:after="140"/>
        <w:ind w:left="624"/>
      </w:pPr>
      <w:r>
        <w:rPr>
          <w:color w:val="555555"/>
          <w:sz w:val="18"/>
        </w:rPr>
        <w:t>doi: 10.1016/0304-4076(86)90063-1</w:t>
        <w:br/>
      </w:r>
      <w:r>
        <w:rPr>
          <w:b/>
          <w:sz w:val="19"/>
        </w:rPr>
        <w:t xml:space="preserve">Uso en Augur: </w:t>
      </w:r>
      <w:r>
        <w:rPr>
          <w:sz w:val="19"/>
        </w:rPr>
        <w:t>ARX+GARCH(1,1) (notebook 08).</w:t>
      </w:r>
    </w:p>
    <w:p>
      <w:pPr>
        <w:tabs>
          <w:tab w:pos="624" w:val="left"/>
        </w:tabs>
        <w:spacing w:after="20"/>
        <w:ind w:left="624" w:hanging="624"/>
      </w:pPr>
      <w:r>
        <w:rPr>
          <w:b/>
          <w:color w:val="B45309"/>
        </w:rPr>
        <w:t>[C]</w:t>
        <w:tab/>
      </w:r>
      <w:r>
        <w:t>D. B. Nelson, "Conditional heteroskedasticity in asset returns: A new approach," Econometrica, vol. 59, no. 2, pp. 347–370, 1991.</w:t>
      </w:r>
    </w:p>
    <w:p>
      <w:pPr>
        <w:spacing w:after="140"/>
        <w:ind w:left="624"/>
      </w:pPr>
      <w:r>
        <w:rPr>
          <w:color w:val="555555"/>
          <w:sz w:val="18"/>
        </w:rPr>
        <w:t>doi: 10.2307/2938260</w:t>
        <w:br/>
      </w:r>
      <w:r>
        <w:rPr>
          <w:b/>
          <w:sz w:val="19"/>
        </w:rPr>
        <w:t xml:space="preserve">Uso en Augur: </w:t>
      </w:r>
      <w:r>
        <w:rPr>
          <w:sz w:val="19"/>
        </w:rPr>
        <w:t>GARCH con distribución GED y variantes asimétricas probadas como votante.</w:t>
      </w:r>
    </w:p>
    <w:p>
      <w:pPr>
        <w:tabs>
          <w:tab w:pos="624" w:val="left"/>
        </w:tabs>
        <w:spacing w:after="20"/>
        <w:ind w:left="624" w:hanging="624"/>
      </w:pPr>
      <w:r>
        <w:rPr>
          <w:b/>
          <w:color w:val="B45309"/>
        </w:rPr>
        <w:t>[S]</w:t>
        <w:tab/>
      </w:r>
      <w:r>
        <w:t>S. J. Taylor y B. Letham, "Forecasting at scale," Am. Stat., vol. 72, no. 1, pp. 37–45, 2018.</w:t>
      </w:r>
    </w:p>
    <w:p>
      <w:pPr>
        <w:spacing w:after="140"/>
        <w:ind w:left="624"/>
      </w:pPr>
      <w:r>
        <w:rPr>
          <w:color w:val="555555"/>
          <w:sz w:val="18"/>
        </w:rPr>
        <w:t>doi: 10.1080/00031305.2017.1380080</w:t>
        <w:br/>
      </w:r>
      <w:r>
        <w:rPr>
          <w:b/>
          <w:sz w:val="19"/>
        </w:rPr>
        <w:t xml:space="preserve">Uso en Augur: </w:t>
      </w:r>
      <w:r>
        <w:rPr>
          <w:sz w:val="19"/>
        </w:rPr>
        <w:t>Prophet (notebook 04), el modelo más débil; descartado.</w:t>
      </w:r>
    </w:p>
    <w:p>
      <w:pPr>
        <w:tabs>
          <w:tab w:pos="624" w:val="left"/>
        </w:tabs>
        <w:spacing w:after="20"/>
        <w:ind w:left="624" w:hanging="624"/>
      </w:pPr>
      <w:r>
        <w:rPr>
          <w:b/>
          <w:color w:val="B45309"/>
        </w:rPr>
        <w:t>[L]</w:t>
        <w:tab/>
      </w:r>
      <w:r>
        <w:t>B. Uniejewski, R. Weron y F. Ziel, "Variance stabilizing transformations for electricity spot price forecasting," IEEE Trans. Power Syst., vol. 33, no. 2, pp. 2219–2229, 2018.</w:t>
      </w:r>
    </w:p>
    <w:p>
      <w:pPr>
        <w:spacing w:after="140"/>
        <w:ind w:left="624"/>
      </w:pPr>
      <w:r>
        <w:rPr>
          <w:color w:val="555555"/>
          <w:sz w:val="18"/>
        </w:rPr>
        <w:t>doi: 10.1109/TPWRS.2017.2734563</w:t>
        <w:br/>
      </w:r>
      <w:r>
        <w:rPr>
          <w:b/>
          <w:sz w:val="19"/>
        </w:rPr>
        <w:t xml:space="preserve">Uso en Augur: </w:t>
      </w:r>
      <w:r>
        <w:rPr>
          <w:sz w:val="19"/>
        </w:rPr>
        <w:t>Transformación asinh. Probada: empeora 6-16 % en Colombia (los picos son cambios de nivel sostenidos).</w:t>
      </w:r>
    </w:p>
    <w:p>
      <w:pPr>
        <w:tabs>
          <w:tab w:pos="624" w:val="left"/>
        </w:tabs>
        <w:spacing w:after="20"/>
        <w:ind w:left="624" w:hanging="624"/>
      </w:pPr>
      <w:r>
        <w:rPr>
          <w:b/>
          <w:color w:val="B45309"/>
        </w:rPr>
        <w:t>[V]</w:t>
        <w:tab/>
      </w:r>
      <w:r>
        <w:t>B. Uniejewski, artículo sobre asinh parametrizado y promediado AVGroll, Electr. Power Syst. Res., vol. 257, 2026.</w:t>
      </w:r>
    </w:p>
    <w:p>
      <w:pPr>
        <w:spacing w:after="140"/>
        <w:ind w:left="624"/>
      </w:pPr>
      <w:r>
        <w:rPr>
          <w:color w:val="555555"/>
          <w:sz w:val="18"/>
        </w:rPr>
        <w:t>Título exacto por verificar</w:t>
        <w:br/>
      </w:r>
      <w:r>
        <w:rPr>
          <w:b/>
          <w:sz w:val="19"/>
        </w:rPr>
        <w:t xml:space="preserve">Uso en Augur: </w:t>
      </w:r>
      <w:r>
        <w:rPr>
          <w:sz w:val="19"/>
        </w:rPr>
        <w:t>AVGroll y combinación por hora del día; inspiró aplicar el QRA por franja. Mejora de solo 0,7 %.</w:t>
      </w:r>
    </w:p>
    <w:p>
      <w:pPr>
        <w:tabs>
          <w:tab w:pos="624" w:val="left"/>
        </w:tabs>
        <w:spacing w:after="20"/>
        <w:ind w:left="624" w:hanging="624"/>
      </w:pPr>
      <w:r>
        <w:rPr>
          <w:b/>
          <w:color w:val="B45309"/>
        </w:rPr>
        <w:t>[L]</w:t>
        <w:tab/>
      </w:r>
      <w:r>
        <w:t>G. Dutot, M. Zaffran, O. Féron y Y. Goude, "Adaptive probabilistic forecasting of French electricity spot prices," preprint, 2024.</w:t>
      </w:r>
    </w:p>
    <w:p>
      <w:pPr>
        <w:spacing w:after="140"/>
        <w:ind w:left="624"/>
      </w:pPr>
      <w:r>
        <w:rPr>
          <w:color w:val="555555"/>
          <w:sz w:val="18"/>
        </w:rPr>
        <w:t>arXiv:2405.15359</w:t>
        <w:br/>
      </w:r>
      <w:r>
        <w:rPr>
          <w:b/>
          <w:sz w:val="19"/>
        </w:rPr>
        <w:t xml:space="preserve">Uso en Augur: </w:t>
      </w:r>
      <w:r>
        <w:rPr>
          <w:sz w:val="19"/>
        </w:rPr>
        <w:t>Agregación adaptativa de expertos (BOA). Probada con pesos móviles de 30-60 días: peor que la ventana expansiva (p &lt; 0,01).</w:t>
      </w:r>
    </w:p>
    <w:p>
      <w:pPr>
        <w:pStyle w:val="Heading1"/>
      </w:pPr>
      <w:r>
        <w:t>2. Evaluación, validación e incertidumbre</w:t>
      </w:r>
    </w:p>
    <w:p>
      <w:pPr>
        <w:tabs>
          <w:tab w:pos="624" w:val="left"/>
        </w:tabs>
        <w:spacing w:after="20"/>
        <w:ind w:left="624" w:hanging="624"/>
      </w:pPr>
      <w:r>
        <w:rPr>
          <w:b/>
          <w:color w:val="B45309"/>
        </w:rPr>
        <w:t>[C]</w:t>
        <w:tab/>
      </w:r>
      <w:r>
        <w:t>F. X. Diebold y R. S. Mariano, "Comparing predictive accuracy," J. Bus. Econ. Stat., vol. 13, no. 3, pp. 253–263, 1995.</w:t>
      </w:r>
    </w:p>
    <w:p>
      <w:pPr>
        <w:spacing w:after="140"/>
        <w:ind w:left="624"/>
      </w:pPr>
      <w:r>
        <w:rPr>
          <w:color w:val="555555"/>
          <w:sz w:val="18"/>
        </w:rPr>
        <w:t>doi: 10.1080/07350015.1995.10524599</w:t>
        <w:br/>
      </w:r>
      <w:r>
        <w:rPr>
          <w:b/>
          <w:sz w:val="19"/>
        </w:rPr>
        <w:t xml:space="preserve">Uso en Augur: </w:t>
      </w:r>
      <w:r>
        <w:rPr>
          <w:sz w:val="19"/>
        </w:rPr>
        <w:t>Prueba DM usada para aceptar o rechazar cada cambio (benchmark, walk-forward, curva50, detector de 72 h).</w:t>
      </w:r>
    </w:p>
    <w:p>
      <w:pPr>
        <w:tabs>
          <w:tab w:pos="624" w:val="left"/>
        </w:tabs>
        <w:spacing w:after="20"/>
        <w:ind w:left="624" w:hanging="624"/>
      </w:pPr>
      <w:r>
        <w:rPr>
          <w:b/>
          <w:color w:val="B45309"/>
        </w:rPr>
        <w:t>[C]</w:t>
        <w:tab/>
      </w:r>
      <w:r>
        <w:t>W. K. Newey y K. D. West, "A simple, positive semi-definite, heteroskedasticity and autocorrelation consistent covariance matrix," Econometrica, vol. 55, no. 3, pp. 703–708, 1987.</w:t>
      </w:r>
    </w:p>
    <w:p>
      <w:pPr>
        <w:spacing w:after="140"/>
        <w:ind w:left="624"/>
      </w:pPr>
      <w:r>
        <w:rPr>
          <w:color w:val="555555"/>
          <w:sz w:val="18"/>
        </w:rPr>
        <w:t>doi: 10.2307/1913610</w:t>
        <w:br/>
      </w:r>
      <w:r>
        <w:rPr>
          <w:b/>
          <w:sz w:val="19"/>
        </w:rPr>
        <w:t xml:space="preserve">Uso en Augur: </w:t>
      </w:r>
      <w:r>
        <w:rPr>
          <w:sz w:val="19"/>
        </w:rPr>
        <w:t>Varianza HAC en la prueba DM (errores horarios autocorrelacionados).</w:t>
      </w:r>
    </w:p>
    <w:p>
      <w:pPr>
        <w:tabs>
          <w:tab w:pos="624" w:val="left"/>
        </w:tabs>
        <w:spacing w:after="20"/>
        <w:ind w:left="624" w:hanging="624"/>
      </w:pPr>
      <w:r>
        <w:rPr>
          <w:b/>
          <w:color w:val="B45309"/>
        </w:rPr>
        <w:t>[C]</w:t>
        <w:tab/>
      </w:r>
      <w:r>
        <w:t>L. J. Tashman, "Out-of-sample tests of forecasting accuracy: An analysis and review," Int. J. Forecast., vol. 16, no. 4, pp. 437–450, 2000.</w:t>
      </w:r>
    </w:p>
    <w:p>
      <w:pPr>
        <w:spacing w:after="140"/>
        <w:ind w:left="624"/>
      </w:pPr>
      <w:r>
        <w:rPr>
          <w:color w:val="555555"/>
          <w:sz w:val="18"/>
        </w:rPr>
        <w:t>doi: 10.1016/S0169-2070(00)00065-0</w:t>
        <w:br/>
      </w:r>
      <w:r>
        <w:rPr>
          <w:b/>
          <w:sz w:val="19"/>
        </w:rPr>
        <w:t xml:space="preserve">Uso en Augur: </w:t>
      </w:r>
      <w:r>
        <w:rPr>
          <w:sz w:val="19"/>
        </w:rPr>
        <w:t>Validación walk-forward por orígenes (6 orígenes ENSO y walk-forward realista).</w:t>
      </w:r>
    </w:p>
    <w:p>
      <w:pPr>
        <w:tabs>
          <w:tab w:pos="624" w:val="left"/>
        </w:tabs>
        <w:spacing w:after="20"/>
        <w:ind w:left="624" w:hanging="624"/>
      </w:pPr>
      <w:r>
        <w:rPr>
          <w:b/>
          <w:color w:val="B45309"/>
        </w:rPr>
        <w:t>[C]</w:t>
        <w:tab/>
      </w:r>
      <w:r>
        <w:t>R. J. Hyndman y A. B. Koehler, "Another look at measures of forecast accuracy," Int. J. Forecast., vol. 22, no. 4, pp. 679–688, 2006.</w:t>
      </w:r>
    </w:p>
    <w:p>
      <w:pPr>
        <w:spacing w:after="140"/>
        <w:ind w:left="624"/>
      </w:pPr>
      <w:r>
        <w:rPr>
          <w:color w:val="555555"/>
          <w:sz w:val="18"/>
        </w:rPr>
        <w:t>doi: 10.1016/j.ijforecast.2006.03.001</w:t>
        <w:br/>
      </w:r>
      <w:r>
        <w:rPr>
          <w:b/>
          <w:sz w:val="19"/>
        </w:rPr>
        <w:t xml:space="preserve">Uso en Augur: </w:t>
      </w:r>
      <w:r>
        <w:rPr>
          <w:sz w:val="19"/>
        </w:rPr>
        <w:t>MASE y escalado contra la persistencia.</w:t>
      </w:r>
    </w:p>
    <w:p>
      <w:pPr>
        <w:tabs>
          <w:tab w:pos="624" w:val="left"/>
        </w:tabs>
        <w:spacing w:after="20"/>
        <w:ind w:left="624" w:hanging="624"/>
      </w:pPr>
      <w:r>
        <w:rPr>
          <w:b/>
          <w:color w:val="B45309"/>
        </w:rPr>
        <w:t>[C]</w:t>
        <w:tab/>
      </w:r>
      <w:r>
        <w:t>K. Maciejowska, A. Lipiecki y B. Uniejewski, "Statistical and economic evaluation of forecasts in electricity markets: Beyond RMSE and MAE," Energy Convers. Manag., vol. 356, art. 121408, 2026.</w:t>
      </w:r>
    </w:p>
    <w:p>
      <w:pPr>
        <w:spacing w:after="140"/>
        <w:ind w:left="624"/>
      </w:pPr>
      <w:r>
        <w:rPr>
          <w:color w:val="555555"/>
          <w:sz w:val="18"/>
        </w:rPr>
        <w:t>doi: 10.1016/j.enconman.2026.121408 · arXiv:2511.13616</w:t>
        <w:br/>
      </w:r>
      <w:r>
        <w:rPr>
          <w:b/>
          <w:sz w:val="19"/>
        </w:rPr>
        <w:t xml:space="preserve">Uso en Augur: </w:t>
      </w:r>
      <w:r>
        <w:rPr>
          <w:sz w:val="19"/>
        </w:rPr>
        <w:t>Métricas de forma del día (Corr-f, MHD, MPD) y evaluación económica del motor de decisión.</w:t>
      </w:r>
    </w:p>
    <w:p>
      <w:pPr>
        <w:tabs>
          <w:tab w:pos="624" w:val="left"/>
        </w:tabs>
        <w:spacing w:after="20"/>
        <w:ind w:left="624" w:hanging="624"/>
      </w:pPr>
      <w:r>
        <w:rPr>
          <w:b/>
          <w:color w:val="B45309"/>
        </w:rPr>
        <w:t>[C]</w:t>
        <w:tab/>
      </w:r>
      <w:r>
        <w:t>Y. Romano, E. Patterson y E. Candès, "Conformalized quantile regression," en Adv. Neural Inf. Process. Syst. 32 (NeurIPS 2019), 2019.</w:t>
      </w:r>
    </w:p>
    <w:p>
      <w:pPr>
        <w:spacing w:after="140"/>
        <w:ind w:left="624"/>
      </w:pPr>
      <w:r>
        <w:rPr>
          <w:color w:val="555555"/>
          <w:sz w:val="18"/>
        </w:rPr>
        <w:t>arXiv:1905.03222</w:t>
        <w:br/>
      </w:r>
      <w:r>
        <w:rPr>
          <w:b/>
          <w:sz w:val="19"/>
        </w:rPr>
        <w:t xml:space="preserve">Uso en Augur: </w:t>
      </w:r>
      <w:r>
        <w:rPr>
          <w:sz w:val="19"/>
        </w:rPr>
        <w:t>Bandas conformes sobre los cuantiles del QRA (q10-q90).</w:t>
      </w:r>
    </w:p>
    <w:p>
      <w:pPr>
        <w:tabs>
          <w:tab w:pos="624" w:val="left"/>
        </w:tabs>
        <w:spacing w:after="20"/>
        <w:ind w:left="624" w:hanging="624"/>
      </w:pPr>
      <w:r>
        <w:rPr>
          <w:b/>
          <w:color w:val="B45309"/>
        </w:rPr>
        <w:t>[C]</w:t>
        <w:tab/>
      </w:r>
      <w:r>
        <w:t>V. Vovk, A. Gammerman y G. Shafer, Algorithmic Learning in a Random World. Nueva York: Springer, 2005.</w:t>
      </w:r>
    </w:p>
    <w:p>
      <w:pPr>
        <w:spacing w:after="140"/>
        <w:ind w:left="624"/>
      </w:pPr>
      <w:r>
        <w:rPr>
          <w:color w:val="555555"/>
          <w:sz w:val="18"/>
        </w:rPr>
        <w:t>doi: 10.1007/b106715</w:t>
        <w:br/>
      </w:r>
      <w:r>
        <w:rPr>
          <w:b/>
          <w:sz w:val="19"/>
        </w:rPr>
        <w:t xml:space="preserve">Uso en Augur: </w:t>
      </w:r>
      <w:r>
        <w:rPr>
          <w:sz w:val="19"/>
        </w:rPr>
        <w:t>Fundamento de la predicción conforme.</w:t>
      </w:r>
    </w:p>
    <w:p>
      <w:pPr>
        <w:tabs>
          <w:tab w:pos="624" w:val="left"/>
        </w:tabs>
        <w:spacing w:after="20"/>
        <w:ind w:left="624" w:hanging="624"/>
      </w:pPr>
      <w:r>
        <w:rPr>
          <w:b/>
          <w:color w:val="B45309"/>
        </w:rPr>
        <w:t>[S]</w:t>
        <w:tab/>
      </w:r>
      <w:r>
        <w:t>I. Gibbs y E. Candès, "Adaptive conformal inference under distribution shift," en Adv. Neural Inf. Process. Syst. 34 (NeurIPS 2021), 2021.</w:t>
      </w:r>
    </w:p>
    <w:p>
      <w:pPr>
        <w:spacing w:after="140"/>
        <w:ind w:left="624"/>
      </w:pPr>
      <w:r>
        <w:rPr>
          <w:color w:val="555555"/>
          <w:sz w:val="18"/>
        </w:rPr>
        <w:t>arXiv:2106.00170</w:t>
        <w:br/>
      </w:r>
      <w:r>
        <w:rPr>
          <w:b/>
          <w:sz w:val="19"/>
        </w:rPr>
        <w:t xml:space="preserve">Uso en Augur: </w:t>
      </w:r>
      <w:r>
        <w:rPr>
          <w:sz w:val="19"/>
        </w:rPr>
        <w:t>Respaldo de la calibración conforme adaptativa y causal que usan las bandas.</w:t>
      </w:r>
    </w:p>
    <w:p>
      <w:pPr>
        <w:tabs>
          <w:tab w:pos="624" w:val="left"/>
        </w:tabs>
        <w:spacing w:after="20"/>
        <w:ind w:left="624" w:hanging="624"/>
      </w:pPr>
      <w:r>
        <w:rPr>
          <w:b/>
          <w:color w:val="B45309"/>
        </w:rPr>
        <w:t>[L]</w:t>
        <w:tab/>
      </w:r>
      <w:r>
        <w:t>T. Gneiting y A. E. Raftery, "Strictly proper scoring rules, prediction, and estimation," J. Am. Stat. Assoc., vol. 102, no. 477, pp. 359–378, 2007.</w:t>
      </w:r>
    </w:p>
    <w:p>
      <w:pPr>
        <w:spacing w:after="140"/>
        <w:ind w:left="624"/>
      </w:pPr>
      <w:r>
        <w:rPr>
          <w:color w:val="555555"/>
          <w:sz w:val="18"/>
        </w:rPr>
        <w:t>doi: 10.1198/016214506000001437</w:t>
        <w:br/>
      </w:r>
      <w:r>
        <w:rPr>
          <w:b/>
          <w:sz w:val="19"/>
        </w:rPr>
        <w:t xml:space="preserve">Uso en Augur: </w:t>
      </w:r>
      <w:r>
        <w:rPr>
          <w:sz w:val="19"/>
        </w:rPr>
        <w:t>Interval Score (Winkler) para comparar bandas.</w:t>
      </w:r>
    </w:p>
    <w:p>
      <w:pPr>
        <w:tabs>
          <w:tab w:pos="624" w:val="left"/>
        </w:tabs>
        <w:spacing w:after="20"/>
        <w:ind w:left="624" w:hanging="624"/>
      </w:pPr>
      <w:r>
        <w:rPr>
          <w:b/>
          <w:color w:val="B45309"/>
        </w:rPr>
        <w:t>[S]</w:t>
        <w:tab/>
      </w:r>
      <w:r>
        <w:t>G. W. Brier, "Verification of forecasts expressed in terms of probability," Mon. Weather Rev., vol. 78, no. 1, pp. 1–3, 1950.</w:t>
      </w:r>
    </w:p>
    <w:p>
      <w:pPr>
        <w:spacing w:after="140"/>
        <w:ind w:left="624"/>
      </w:pPr>
      <w:r>
        <w:rPr>
          <w:color w:val="555555"/>
          <w:sz w:val="18"/>
        </w:rPr>
        <w:t>doi: 10.1175/1520-0493(1950)078&lt;0001:VOFEIT&gt;2.0.CO;2</w:t>
        <w:br/>
      </w:r>
      <w:r>
        <w:rPr>
          <w:b/>
          <w:sz w:val="19"/>
        </w:rPr>
        <w:t xml:space="preserve">Uso en Augur: </w:t>
      </w:r>
      <w:r>
        <w:rPr>
          <w:sz w:val="19"/>
        </w:rPr>
        <w:t>Puntaje de Brier y BSS del detector de picos y desplomes.</w:t>
      </w:r>
    </w:p>
    <w:p>
      <w:pPr>
        <w:tabs>
          <w:tab w:pos="624" w:val="left"/>
        </w:tabs>
        <w:spacing w:after="20"/>
        <w:ind w:left="624" w:hanging="624"/>
      </w:pPr>
      <w:r>
        <w:rPr>
          <w:b/>
          <w:color w:val="B45309"/>
        </w:rPr>
        <w:t>[L]</w:t>
        <w:tab/>
      </w:r>
      <w:r>
        <w:t>A. H. Murphy, "Skill scores based on the mean square error and their relationships to the correlation coefficient," Mon. Weather Rev., vol. 116, no. 12, pp. 2417–2424, 1988.</w:t>
      </w:r>
    </w:p>
    <w:p>
      <w:pPr>
        <w:spacing w:after="140"/>
        <w:ind w:left="624"/>
      </w:pPr>
      <w:r>
        <w:rPr>
          <w:color w:val="555555"/>
          <w:sz w:val="18"/>
        </w:rPr>
        <w:t>doi: 10.1175/1520-0493(1988)116&lt;2417:SSBOTM&gt;2.0.CO;2</w:t>
        <w:br/>
      </w:r>
      <w:r>
        <w:rPr>
          <w:b/>
          <w:sz w:val="19"/>
        </w:rPr>
        <w:t xml:space="preserve">Uso en Augur: </w:t>
      </w:r>
      <w:r>
        <w:rPr>
          <w:sz w:val="19"/>
        </w:rPr>
        <w:t>Descomposición del error por día (nivel, amplitud, fase) del diagnóstico de amortiguamiento.</w:t>
      </w:r>
    </w:p>
    <w:p>
      <w:pPr>
        <w:tabs>
          <w:tab w:pos="624" w:val="left"/>
        </w:tabs>
        <w:spacing w:after="20"/>
        <w:ind w:left="624" w:hanging="624"/>
      </w:pPr>
      <w:r>
        <w:rPr>
          <w:b/>
          <w:color w:val="B45309"/>
        </w:rPr>
        <w:t>[L]</w:t>
        <w:tab/>
      </w:r>
      <w:r>
        <w:t>H. Hewamalage, K. Ackermann y C. Bergmeir, "Forecast evaluation for data scientists: Common pitfalls and best practices," Data Min. Knowl. Discov., vol. 37, pp. 788–832, 2023.</w:t>
      </w:r>
    </w:p>
    <w:p>
      <w:pPr>
        <w:spacing w:after="140"/>
        <w:ind w:left="624"/>
      </w:pPr>
      <w:r>
        <w:rPr>
          <w:color w:val="555555"/>
          <w:sz w:val="18"/>
        </w:rPr>
        <w:t>doi: 10.1007/s10618-022-00894-5</w:t>
        <w:br/>
      </w:r>
      <w:r>
        <w:rPr>
          <w:b/>
          <w:sz w:val="19"/>
        </w:rPr>
        <w:t xml:space="preserve">Uso en Augur: </w:t>
      </w:r>
      <w:r>
        <w:rPr>
          <w:sz w:val="19"/>
        </w:rPr>
        <w:t>Citado por Albani et al.; respalda que los modelos complejos no siempre ganan de forma significativa.</w:t>
      </w:r>
    </w:p>
    <w:p>
      <w:pPr>
        <w:tabs>
          <w:tab w:pos="624" w:val="left"/>
        </w:tabs>
        <w:spacing w:after="20"/>
        <w:ind w:left="624" w:hanging="624"/>
      </w:pPr>
      <w:r>
        <w:rPr>
          <w:b/>
          <w:color w:val="B45309"/>
        </w:rPr>
        <w:t>[C]</w:t>
        <w:tab/>
      </w:r>
      <w:r>
        <w:t>S. M. Lundberg y S.-I. Lee, "A unified approach to interpreting model predictions," en Adv. Neural Inf. Process. Syst. 30 (NIPS 2017), 2017.</w:t>
      </w:r>
    </w:p>
    <w:p>
      <w:pPr>
        <w:spacing w:after="140"/>
        <w:ind w:left="624"/>
      </w:pPr>
      <w:r>
        <w:rPr>
          <w:color w:val="555555"/>
          <w:sz w:val="18"/>
        </w:rPr>
        <w:t>arXiv:1705.07874</w:t>
        <w:br/>
      </w:r>
      <w:r>
        <w:rPr>
          <w:b/>
          <w:sz w:val="19"/>
        </w:rPr>
        <w:t xml:space="preserve">Uso en Augur: </w:t>
      </w:r>
      <w:r>
        <w:rPr>
          <w:sz w:val="19"/>
        </w:rPr>
        <w:t>SHAP sobre XGBoost (notebook 06).</w:t>
      </w:r>
    </w:p>
    <w:p>
      <w:pPr>
        <w:tabs>
          <w:tab w:pos="624" w:val="left"/>
        </w:tabs>
        <w:spacing w:after="20"/>
        <w:ind w:left="624" w:hanging="624"/>
      </w:pPr>
      <w:r>
        <w:rPr>
          <w:b/>
          <w:color w:val="B45309"/>
        </w:rPr>
        <w:t>[S]</w:t>
        <w:tab/>
      </w:r>
      <w:r>
        <w:t>J. H. Friedman, "Greedy function approximation: A gradient boosting machine," Ann. Stat., vol. 29, no. 5, pp. 1189–1232, 2001.</w:t>
      </w:r>
    </w:p>
    <w:p>
      <w:pPr>
        <w:spacing w:after="140"/>
        <w:ind w:left="624"/>
      </w:pPr>
      <w:r>
        <w:rPr>
          <w:color w:val="555555"/>
          <w:sz w:val="18"/>
        </w:rPr>
        <w:t>doi: 10.1214/aos/1013203451</w:t>
        <w:br/>
      </w:r>
      <w:r>
        <w:rPr>
          <w:b/>
          <w:sz w:val="19"/>
        </w:rPr>
        <w:t xml:space="preserve">Uso en Augur: </w:t>
      </w:r>
      <w:r>
        <w:rPr>
          <w:sz w:val="19"/>
        </w:rPr>
        <w:t>Gráficas de dependencia parcial (PDP) del notebook 06 y base del gradient boosting.</w:t>
      </w:r>
    </w:p>
    <w:p>
      <w:pPr>
        <w:tabs>
          <w:tab w:pos="624" w:val="left"/>
        </w:tabs>
        <w:spacing w:after="20"/>
        <w:ind w:left="624" w:hanging="624"/>
      </w:pPr>
      <w:r>
        <w:rPr>
          <w:b/>
          <w:color w:val="B45309"/>
        </w:rPr>
        <w:t>[C]</w:t>
        <w:tab/>
      </w:r>
      <w:r>
        <w:t>J. W. Tukey, Exploratory Data Analysis. Reading, MA: Addison-Wesley, 1977.</w:t>
      </w:r>
    </w:p>
    <w:p>
      <w:pPr>
        <w:spacing w:after="140"/>
        <w:ind w:left="624"/>
      </w:pPr>
      <w:r>
        <w:rPr>
          <w:color w:val="555555"/>
          <w:sz w:val="18"/>
        </w:rPr>
        <w:t>—</w:t>
        <w:br/>
      </w:r>
      <w:r>
        <w:rPr>
          <w:b/>
          <w:sz w:val="19"/>
        </w:rPr>
        <w:t xml:space="preserve">Uso en Augur: </w:t>
      </w:r>
      <w:r>
        <w:rPr>
          <w:sz w:val="19"/>
        </w:rPr>
        <w:t>Análisis exploratorio y criterio de valores atípicos de la caracterización.</w:t>
      </w:r>
    </w:p>
    <w:p>
      <w:pPr>
        <w:tabs>
          <w:tab w:pos="624" w:val="left"/>
        </w:tabs>
        <w:spacing w:after="20"/>
        <w:ind w:left="624" w:hanging="624"/>
      </w:pPr>
      <w:r>
        <w:rPr>
          <w:b/>
          <w:color w:val="B45309"/>
        </w:rPr>
        <w:t>[S]</w:t>
        <w:tab/>
      </w:r>
      <w:r>
        <w:t>C. W. J. Granger, "Investigating causal relations by econometric models and cross-spectral methods," Econometrica, vol. 37, no. 3, pp. 424–438, 1969.</w:t>
      </w:r>
    </w:p>
    <w:p>
      <w:pPr>
        <w:spacing w:after="140"/>
        <w:ind w:left="624"/>
      </w:pPr>
      <w:r>
        <w:rPr>
          <w:color w:val="555555"/>
          <w:sz w:val="18"/>
        </w:rPr>
        <w:t>doi: 10.2307/1912791</w:t>
        <w:br/>
      </w:r>
      <w:r>
        <w:rPr>
          <w:b/>
          <w:sz w:val="19"/>
        </w:rPr>
        <w:t xml:space="preserve">Uso en Augur: </w:t>
      </w:r>
      <w:r>
        <w:rPr>
          <w:sz w:val="19"/>
        </w:rPr>
        <w:t>Causalidad de Granger de aportes y embalse sobre el precio (granger_hidrologia.py).</w:t>
      </w:r>
    </w:p>
    <w:p>
      <w:pPr>
        <w:tabs>
          <w:tab w:pos="624" w:val="left"/>
        </w:tabs>
        <w:spacing w:after="20"/>
        <w:ind w:left="624" w:hanging="624"/>
      </w:pPr>
      <w:r>
        <w:rPr>
          <w:b/>
          <w:color w:val="B45309"/>
        </w:rPr>
        <w:t>[V]</w:t>
        <w:tab/>
      </w:r>
      <w:r>
        <w:t>Emre (2025), artículo de International Journal of Electrical Power &amp; Energy Systems con metodología de causalidad de Granger.</w:t>
      </w:r>
    </w:p>
    <w:p>
      <w:pPr>
        <w:spacing w:after="140"/>
        <w:ind w:left="624"/>
      </w:pPr>
      <w:r>
        <w:rPr>
          <w:color w:val="555555"/>
          <w:sz w:val="18"/>
        </w:rPr>
        <w:t>Datos completos por verificar</w:t>
        <w:br/>
      </w:r>
      <w:r>
        <w:rPr>
          <w:b/>
          <w:sz w:val="19"/>
        </w:rPr>
        <w:t xml:space="preserve">Uso en Augur: </w:t>
      </w:r>
      <w:r>
        <w:rPr>
          <w:sz w:val="19"/>
        </w:rPr>
        <w:t>Metodología que se siguió para la prueba de Granger sobre la serie diaria.</w:t>
      </w:r>
    </w:p>
    <w:p>
      <w:pPr>
        <w:pStyle w:val="Heading1"/>
      </w:pPr>
      <w:r>
        <w:t>3. Cambio de régimen, puntos de cambio y decisión</w:t>
      </w:r>
    </w:p>
    <w:p>
      <w:pPr>
        <w:tabs>
          <w:tab w:pos="624" w:val="left"/>
        </w:tabs>
        <w:spacing w:after="20"/>
        <w:ind w:left="624" w:hanging="624"/>
      </w:pPr>
      <w:r>
        <w:rPr>
          <w:b/>
          <w:color w:val="B45309"/>
        </w:rPr>
        <w:t>[L]</w:t>
        <w:tab/>
      </w:r>
      <w:r>
        <w:t>J. Nasiadka, W. Nitka y R. Weron, "Calibration window selection based on change-point detection for forecasting electricity prices," en Computational Science – ICCS 2022, LNCS, Springer, 2022.</w:t>
      </w:r>
    </w:p>
    <w:p>
      <w:pPr>
        <w:spacing w:after="140"/>
        <w:ind w:left="624"/>
      </w:pPr>
      <w:r>
        <w:rPr>
          <w:color w:val="555555"/>
          <w:sz w:val="18"/>
        </w:rPr>
        <w:t>arXiv:2204.00872</w:t>
        <w:br/>
      </w:r>
      <w:r>
        <w:rPr>
          <w:b/>
          <w:sz w:val="19"/>
        </w:rPr>
        <w:t xml:space="preserve">Uso en Augur: </w:t>
      </w:r>
      <w:r>
        <w:rPr>
          <w:sz w:val="19"/>
        </w:rPr>
        <w:t>Selección de ventana por puntos de cambio, implementada en ventana_calibracion_not_24h.py.</w:t>
      </w:r>
    </w:p>
    <w:p>
      <w:pPr>
        <w:tabs>
          <w:tab w:pos="624" w:val="left"/>
        </w:tabs>
        <w:spacing w:after="20"/>
        <w:ind w:left="624" w:hanging="624"/>
      </w:pPr>
      <w:r>
        <w:rPr>
          <w:b/>
          <w:color w:val="B45309"/>
        </w:rPr>
        <w:t>[L]</w:t>
        <w:tab/>
      </w:r>
      <w:r>
        <w:t>R. Baranowski, Y. Chen y P. Fryzlewicz, "Narrowest-over-threshold detection of multiple change-points and change-point-like features," J. R. Stat. Soc. Ser. B, vol. 81, no. 3, pp. 649–672, 2019.</w:t>
      </w:r>
    </w:p>
    <w:p>
      <w:pPr>
        <w:spacing w:after="140"/>
        <w:ind w:left="624"/>
      </w:pPr>
      <w:r>
        <w:rPr>
          <w:color w:val="555555"/>
          <w:sz w:val="18"/>
        </w:rPr>
        <w:t>doi: 10.1111/rssb.12322 · paquete R: cran.r-project.org/package=not</w:t>
        <w:br/>
      </w:r>
      <w:r>
        <w:rPr>
          <w:b/>
          <w:sz w:val="19"/>
        </w:rPr>
        <w:t xml:space="preserve">Uso en Augur: </w:t>
      </w:r>
      <w:r>
        <w:rPr>
          <w:sz w:val="19"/>
        </w:rPr>
        <w:t>Detector NOT reimplementado en Python (not_changepoint.py) y validado con series sintéticas.</w:t>
      </w:r>
    </w:p>
    <w:p>
      <w:pPr>
        <w:tabs>
          <w:tab w:pos="624" w:val="left"/>
        </w:tabs>
        <w:spacing w:after="20"/>
        <w:ind w:left="624" w:hanging="624"/>
      </w:pPr>
      <w:r>
        <w:rPr>
          <w:b/>
          <w:color w:val="B45309"/>
        </w:rPr>
        <w:t>[L]</w:t>
        <w:tab/>
      </w:r>
      <w:r>
        <w:t>R. Huisman y R. Mahieu, "Regime jumps in electricity prices," Energy Econ., vol. 25, no. 5, pp. 425–434, 2003.</w:t>
      </w:r>
    </w:p>
    <w:p>
      <w:pPr>
        <w:spacing w:after="140"/>
        <w:ind w:left="624"/>
      </w:pPr>
      <w:r>
        <w:rPr>
          <w:color w:val="555555"/>
          <w:sz w:val="18"/>
        </w:rPr>
        <w:t>doi: 10.1016/S0140-9883(03)00041-0</w:t>
        <w:br/>
      </w:r>
      <w:r>
        <w:rPr>
          <w:b/>
          <w:sz w:val="19"/>
        </w:rPr>
        <w:t xml:space="preserve">Uso en Augur: </w:t>
      </w:r>
      <w:r>
        <w:rPr>
          <w:sz w:val="19"/>
        </w:rPr>
        <w:t>Modelo de tres regímenes; origen de la línea de regímenes en EPF.</w:t>
      </w:r>
    </w:p>
    <w:p>
      <w:pPr>
        <w:tabs>
          <w:tab w:pos="624" w:val="left"/>
        </w:tabs>
        <w:spacing w:after="20"/>
        <w:ind w:left="624" w:hanging="624"/>
      </w:pPr>
      <w:r>
        <w:rPr>
          <w:b/>
          <w:color w:val="B45309"/>
        </w:rPr>
        <w:t>[L]</w:t>
        <w:tab/>
      </w:r>
      <w:r>
        <w:t>A. Das y S. Schlüter, "Regime-aware conditional neural processes with multi-criteria decision support for operational electricity price forecasting," Energy Econ., vol. 157, art. 109233, 2026.</w:t>
      </w:r>
    </w:p>
    <w:p>
      <w:pPr>
        <w:spacing w:after="140"/>
        <w:ind w:left="624"/>
      </w:pPr>
      <w:r>
        <w:rPr>
          <w:color w:val="555555"/>
          <w:sz w:val="18"/>
        </w:rPr>
        <w:t>doi: 10.1016/j.eneco.2026.109233 · arXiv:2508.00040</w:t>
        <w:br/>
      </w:r>
      <w:r>
        <w:rPr>
          <w:b/>
          <w:sz w:val="19"/>
        </w:rPr>
        <w:t xml:space="preserve">Uso en Augur: </w:t>
      </w:r>
      <w:r>
        <w:rPr>
          <w:sz w:val="19"/>
        </w:rPr>
        <w:t>Regímenes con HMM en el mercado alemán; confirma que un régimen minoritario (como El Niño) es el caso difícil.</w:t>
      </w:r>
    </w:p>
    <w:p>
      <w:pPr>
        <w:tabs>
          <w:tab w:pos="624" w:val="left"/>
        </w:tabs>
        <w:spacing w:after="20"/>
        <w:ind w:left="624" w:hanging="624"/>
      </w:pPr>
      <w:r>
        <w:rPr>
          <w:b/>
          <w:color w:val="B45309"/>
        </w:rPr>
        <w:t>[C]</w:t>
        <w:tab/>
      </w:r>
      <w:r>
        <w:t>J. Gama, I. Žliobaitė, A. Bifet, M. Pechenizkiy y A. Bouchachia, "A survey on concept drift adaptation," ACM Comput. Surv., vol. 46, no. 4, art. 44, 2014.</w:t>
      </w:r>
    </w:p>
    <w:p>
      <w:pPr>
        <w:spacing w:after="140"/>
        <w:ind w:left="624"/>
      </w:pPr>
      <w:r>
        <w:rPr>
          <w:color w:val="555555"/>
          <w:sz w:val="18"/>
        </w:rPr>
        <w:t>doi: 10.1145/2523813</w:t>
        <w:br/>
      </w:r>
      <w:r>
        <w:rPr>
          <w:b/>
          <w:sz w:val="19"/>
        </w:rPr>
        <w:t xml:space="preserve">Uso en Augur: </w:t>
      </w:r>
      <w:r>
        <w:rPr>
          <w:sz w:val="19"/>
        </w:rPr>
        <w:t>Marco del cambio de distribución 2026 frente a 2019-2025 (umbrales rodantes, reentrenamiento).</w:t>
      </w:r>
    </w:p>
    <w:p>
      <w:pPr>
        <w:tabs>
          <w:tab w:pos="624" w:val="left"/>
        </w:tabs>
        <w:spacing w:after="20"/>
        <w:ind w:left="624" w:hanging="624"/>
      </w:pPr>
      <w:r>
        <w:rPr>
          <w:b/>
          <w:color w:val="B45309"/>
        </w:rPr>
        <w:t>[C]</w:t>
        <w:tab/>
      </w:r>
      <w:r>
        <w:t>A. Wald, Statistical Decision Functions. Nueva York: Wiley, 1950.</w:t>
      </w:r>
    </w:p>
    <w:p>
      <w:pPr>
        <w:spacing w:after="140"/>
        <w:ind w:left="624"/>
      </w:pPr>
      <w:r>
        <w:rPr>
          <w:color w:val="555555"/>
          <w:sz w:val="18"/>
        </w:rPr>
        <w:t>—</w:t>
        <w:br/>
      </w:r>
      <w:r>
        <w:rPr>
          <w:b/>
          <w:sz w:val="19"/>
        </w:rPr>
        <w:t xml:space="preserve">Uso en Augur: </w:t>
      </w:r>
      <w:r>
        <w:rPr>
          <w:sz w:val="19"/>
        </w:rPr>
        <w:t>Criterio maximin para elegir el método de umbral del motor (el peor semestre, no el promedio).</w:t>
      </w:r>
    </w:p>
    <w:p>
      <w:pPr>
        <w:tabs>
          <w:tab w:pos="624" w:val="left"/>
        </w:tabs>
        <w:spacing w:after="20"/>
        <w:ind w:left="624" w:hanging="624"/>
      </w:pPr>
      <w:r>
        <w:rPr>
          <w:b/>
          <w:color w:val="B45309"/>
        </w:rPr>
        <w:t>[C]</w:t>
        <w:tab/>
      </w:r>
      <w:r>
        <w:t>A. Garivier y E. Moulines, "On upper-confidence bound policies for switching bandit problems," en Algorithmic Learning Theory (ALT 2011), LNCS, vol. 6925, Springer, 2011, pp. 174–188.</w:t>
      </w:r>
    </w:p>
    <w:p>
      <w:pPr>
        <w:spacing w:after="140"/>
        <w:ind w:left="624"/>
      </w:pPr>
      <w:r>
        <w:rPr>
          <w:color w:val="555555"/>
          <w:sz w:val="18"/>
        </w:rPr>
        <w:t>doi: 10.1007/978-3-642-24412-4_16</w:t>
        <w:br/>
      </w:r>
      <w:r>
        <w:rPr>
          <w:b/>
          <w:sz w:val="19"/>
        </w:rPr>
        <w:t xml:space="preserve">Uso en Augur: </w:t>
      </w:r>
      <w:r>
        <w:rPr>
          <w:sz w:val="19"/>
        </w:rPr>
        <w:t>Marco formal de elegir entre varias reglas cuando el entorno cambia.</w:t>
      </w:r>
    </w:p>
    <w:p>
      <w:pPr>
        <w:tabs>
          <w:tab w:pos="624" w:val="left"/>
        </w:tabs>
        <w:spacing w:after="20"/>
        <w:ind w:left="624" w:hanging="624"/>
      </w:pPr>
      <w:r>
        <w:rPr>
          <w:b/>
          <w:color w:val="B45309"/>
        </w:rPr>
        <w:t>[L]</w:t>
        <w:tab/>
      </w:r>
      <w:r>
        <w:t>N. Cesa-Bianchi y G. Lugosi, Prediction, Learning, and Games. Cambridge: Cambridge Univ. Press, 2006.</w:t>
      </w:r>
    </w:p>
    <w:p>
      <w:pPr>
        <w:spacing w:after="140"/>
        <w:ind w:left="624"/>
      </w:pPr>
      <w:r>
        <w:rPr>
          <w:color w:val="555555"/>
          <w:sz w:val="18"/>
        </w:rPr>
        <w:t>doi: 10.1017/CBO9780511546921</w:t>
        <w:br/>
      </w:r>
      <w:r>
        <w:rPr>
          <w:b/>
          <w:sz w:val="19"/>
        </w:rPr>
        <w:t xml:space="preserve">Uso en Augur: </w:t>
      </w:r>
      <w:r>
        <w:rPr>
          <w:sz w:val="19"/>
        </w:rPr>
        <w:t>Aprendizaje con expertos; alternativa continua a la selección de método.</w:t>
      </w:r>
    </w:p>
    <w:p>
      <w:pPr>
        <w:tabs>
          <w:tab w:pos="624" w:val="left"/>
        </w:tabs>
        <w:spacing w:after="20"/>
        <w:ind w:left="624" w:hanging="624"/>
      </w:pPr>
      <w:r>
        <w:rPr>
          <w:b/>
          <w:color w:val="B45309"/>
        </w:rPr>
        <w:t>[L]</w:t>
        <w:tab/>
      </w:r>
      <w:r>
        <w:t>G. A. Singh, "Regime-aware deep learning for financial forecasting: an adaptive short-term bias compensation framework for the Warsaw Stock Exchange," Expert Syst. Appl., vol. 332, art. 133584, 2027.</w:t>
      </w:r>
    </w:p>
    <w:p>
      <w:pPr>
        <w:spacing w:after="140"/>
        <w:ind w:left="624"/>
      </w:pPr>
      <w:r>
        <w:rPr>
          <w:color w:val="555555"/>
          <w:sz w:val="18"/>
        </w:rPr>
        <w:t>doi: 10.1016/j.eswa.2026.133584</w:t>
        <w:br/>
      </w:r>
      <w:r>
        <w:rPr>
          <w:b/>
          <w:sz w:val="19"/>
        </w:rPr>
        <w:t xml:space="preserve">Uso en Augur: </w:t>
      </w:r>
      <w:r>
        <w:rPr>
          <w:sz w:val="19"/>
        </w:rPr>
        <w:t>STBC por régimen (fuera de energía). Probado fielmente: λ = 0 en validación; no aporta.</w:t>
      </w:r>
    </w:p>
    <w:p>
      <w:pPr>
        <w:tabs>
          <w:tab w:pos="624" w:val="left"/>
        </w:tabs>
        <w:spacing w:after="20"/>
        <w:ind w:left="624" w:hanging="624"/>
      </w:pPr>
      <w:r>
        <w:rPr>
          <w:b/>
          <w:color w:val="B45309"/>
        </w:rPr>
        <w:t>[L]</w:t>
        <w:tab/>
      </w:r>
      <w:r>
        <w:t>R. I. Chang, C. H. Wang, L. C. Wei y Y. F. Lu, "LSTM with short-term bias compensation to determine trading strategy under black swan events of Taiwan ETF50 stock," Appl. Sci., vol. 14, art. 8576, 2024.</w:t>
      </w:r>
    </w:p>
    <w:p>
      <w:pPr>
        <w:spacing w:after="140"/>
        <w:ind w:left="624"/>
      </w:pPr>
      <w:r>
        <w:rPr>
          <w:color w:val="555555"/>
          <w:sz w:val="18"/>
        </w:rPr>
        <w:t>doi: 10.3390/app14188576</w:t>
        <w:br/>
      </w:r>
      <w:r>
        <w:rPr>
          <w:b/>
          <w:sz w:val="19"/>
        </w:rPr>
        <w:t xml:space="preserve">Uso en Augur: </w:t>
      </w:r>
      <w:r>
        <w:rPr>
          <w:sz w:val="19"/>
        </w:rPr>
        <w:t>STBC original (λ fijo); conocido a través de Singh.</w:t>
      </w:r>
    </w:p>
    <w:p>
      <w:pPr>
        <w:tabs>
          <w:tab w:pos="624" w:val="left"/>
        </w:tabs>
        <w:spacing w:after="20"/>
        <w:ind w:left="624" w:hanging="624"/>
      </w:pPr>
      <w:r>
        <w:rPr>
          <w:b/>
          <w:color w:val="B45309"/>
        </w:rPr>
        <w:t>[L]</w:t>
        <w:tab/>
      </w:r>
      <w:r>
        <w:t>V. Le Guen y N. Thome, "Shape and time distortion loss for training deep time series forecasting models," en Adv. Neural Inf. Process. Syst. 32 (NeurIPS 2019), 2019.</w:t>
      </w:r>
    </w:p>
    <w:p>
      <w:pPr>
        <w:spacing w:after="140"/>
        <w:ind w:left="624"/>
      </w:pPr>
      <w:r>
        <w:rPr>
          <w:color w:val="555555"/>
          <w:sz w:val="18"/>
        </w:rPr>
        <w:t>arXiv:1909.09020</w:t>
        <w:br/>
      </w:r>
      <w:r>
        <w:rPr>
          <w:b/>
          <w:sz w:val="19"/>
        </w:rPr>
        <w:t xml:space="preserve">Uso en Augur: </w:t>
      </w:r>
      <w:r>
        <w:rPr>
          <w:sz w:val="19"/>
        </w:rPr>
        <w:t>Pérdida de forma (DILATE) para atacar el amortiguamiento en las rampas.</w:t>
      </w:r>
    </w:p>
    <w:p>
      <w:pPr>
        <w:tabs>
          <w:tab w:pos="624" w:val="left"/>
        </w:tabs>
        <w:spacing w:after="20"/>
        <w:ind w:left="624" w:hanging="624"/>
      </w:pPr>
      <w:r>
        <w:rPr>
          <w:b/>
          <w:color w:val="B45309"/>
        </w:rPr>
        <w:t>[S]</w:t>
        <w:tab/>
      </w:r>
      <w:r>
        <w:t>J. O. Ramsay y B. W. Silverman, Functional Data Analysis, 2.ª ed. Nueva York: Springer, 2005.</w:t>
      </w:r>
    </w:p>
    <w:p>
      <w:pPr>
        <w:spacing w:after="140"/>
        <w:ind w:left="624"/>
      </w:pPr>
      <w:r>
        <w:rPr>
          <w:color w:val="555555"/>
          <w:sz w:val="18"/>
        </w:rPr>
        <w:t>doi: 10.1007/b98888</w:t>
        <w:br/>
      </w:r>
      <w:r>
        <w:rPr>
          <w:b/>
          <w:sz w:val="19"/>
        </w:rPr>
        <w:t xml:space="preserve">Uso en Augur: </w:t>
      </w:r>
      <w:r>
        <w:rPr>
          <w:sz w:val="19"/>
        </w:rPr>
        <w:t>FPCA de la curva diaria (probada como votante: peso cero, pero empata al ensamble en rampa fuerte).</w:t>
      </w:r>
    </w:p>
    <w:p>
      <w:pPr>
        <w:pStyle w:val="Heading1"/>
      </w:pPr>
      <w:r>
        <w:t>4. Procesamiento de señales (enfoque de Ingeniería Electrónica)</w:t>
      </w:r>
    </w:p>
    <w:p>
      <w:pPr>
        <w:tabs>
          <w:tab w:pos="624" w:val="left"/>
        </w:tabs>
        <w:spacing w:after="20"/>
        <w:ind w:left="624" w:hanging="624"/>
      </w:pPr>
      <w:r>
        <w:rPr>
          <w:b/>
          <w:color w:val="B45309"/>
        </w:rPr>
        <w:t>[C]</w:t>
        <w:tab/>
      </w:r>
      <w:r>
        <w:t>A. Savitzky y M. J. E. Golay, "Smoothing and differentiation of data by simplified least squares procedures," Anal. Chem., vol. 36, no. 8, pp. 1627–1639, 1964.</w:t>
      </w:r>
    </w:p>
    <w:p>
      <w:pPr>
        <w:spacing w:after="140"/>
        <w:ind w:left="624"/>
      </w:pPr>
      <w:r>
        <w:rPr>
          <w:color w:val="555555"/>
          <w:sz w:val="18"/>
        </w:rPr>
        <w:t>doi: 10.1021/ac60214a047</w:t>
        <w:br/>
      </w:r>
      <w:r>
        <w:rPr>
          <w:b/>
          <w:sz w:val="19"/>
        </w:rPr>
        <w:t xml:space="preserve">Uso en Augur: </w:t>
      </w:r>
      <w:r>
        <w:rPr>
          <w:sz w:val="19"/>
        </w:rPr>
        <w:t>Filtro de tendencia de la caracterización (OE1) y del filtro intradía del motor.</w:t>
      </w:r>
    </w:p>
    <w:p>
      <w:pPr>
        <w:tabs>
          <w:tab w:pos="624" w:val="left"/>
        </w:tabs>
        <w:spacing w:after="20"/>
        <w:ind w:left="624" w:hanging="624"/>
      </w:pPr>
      <w:r>
        <w:rPr>
          <w:b/>
          <w:color w:val="B45309"/>
        </w:rPr>
        <w:t>[C]</w:t>
        <w:tab/>
      </w:r>
      <w:r>
        <w:t>A. V. Oppenheim y R. W. Schafer, Discrete-Time Signal Processing, 3.ª ed. Upper Saddle River, NJ: Pearson, 2010.</w:t>
      </w:r>
    </w:p>
    <w:p>
      <w:pPr>
        <w:spacing w:after="140"/>
        <w:ind w:left="624"/>
      </w:pPr>
      <w:r>
        <w:rPr>
          <w:color w:val="555555"/>
          <w:sz w:val="18"/>
        </w:rPr>
        <w:t>—</w:t>
        <w:br/>
      </w:r>
      <w:r>
        <w:rPr>
          <w:b/>
          <w:sz w:val="19"/>
        </w:rPr>
        <w:t xml:space="preserve">Uso en Augur: </w:t>
      </w:r>
      <w:r>
        <w:rPr>
          <w:sz w:val="19"/>
        </w:rPr>
        <w:t>Fundamento de filtros FIR/IIR, fase cero y retardo de grupo.</w:t>
      </w:r>
    </w:p>
    <w:p>
      <w:pPr>
        <w:tabs>
          <w:tab w:pos="624" w:val="left"/>
        </w:tabs>
        <w:spacing w:after="20"/>
        <w:ind w:left="624" w:hanging="624"/>
      </w:pPr>
      <w:r>
        <w:rPr>
          <w:b/>
          <w:color w:val="B45309"/>
        </w:rPr>
        <w:t>[S]</w:t>
        <w:tab/>
      </w:r>
      <w:r>
        <w:t>S. Butterworth, "On the theory of filter amplifiers," Wireless Engineer, vol. 7, pp. 536–541, 1930.</w:t>
      </w:r>
    </w:p>
    <w:p>
      <w:pPr>
        <w:spacing w:after="140"/>
        <w:ind w:left="624"/>
      </w:pPr>
      <w:r>
        <w:rPr>
          <w:color w:val="555555"/>
          <w:sz w:val="18"/>
        </w:rPr>
        <w:t>—</w:t>
        <w:br/>
      </w:r>
      <w:r>
        <w:rPr>
          <w:b/>
          <w:sz w:val="19"/>
        </w:rPr>
        <w:t xml:space="preserve">Uso en Augur: </w:t>
      </w:r>
      <w:r>
        <w:rPr>
          <w:sz w:val="19"/>
        </w:rPr>
        <w:t>Butterworth de fase cero y causal en la comparación de filtros (comparar_filtros_tendencia.py).</w:t>
      </w:r>
    </w:p>
    <w:p>
      <w:pPr>
        <w:tabs>
          <w:tab w:pos="624" w:val="left"/>
        </w:tabs>
        <w:spacing w:after="20"/>
        <w:ind w:left="624" w:hanging="624"/>
      </w:pPr>
      <w:r>
        <w:rPr>
          <w:b/>
          <w:color w:val="B45309"/>
        </w:rPr>
        <w:t>[S]</w:t>
        <w:tab/>
      </w:r>
      <w:r>
        <w:t>R. E. Kalman, "A new approach to linear filtering and prediction problems," J. Basic Eng., vol. 82, no. 1, pp. 35–45, 1960.</w:t>
      </w:r>
    </w:p>
    <w:p>
      <w:pPr>
        <w:spacing w:after="140"/>
        <w:ind w:left="624"/>
      </w:pPr>
      <w:r>
        <w:rPr>
          <w:color w:val="555555"/>
          <w:sz w:val="18"/>
        </w:rPr>
        <w:t>doi: 10.1115/1.3662552</w:t>
        <w:br/>
      </w:r>
      <w:r>
        <w:rPr>
          <w:b/>
          <w:sz w:val="19"/>
        </w:rPr>
        <w:t xml:space="preserve">Uso en Augur: </w:t>
      </w:r>
      <w:r>
        <w:rPr>
          <w:sz w:val="19"/>
        </w:rPr>
        <w:t>Filtro de Kalman en la misma comparación.</w:t>
      </w:r>
    </w:p>
    <w:p>
      <w:pPr>
        <w:tabs>
          <w:tab w:pos="624" w:val="left"/>
        </w:tabs>
        <w:spacing w:after="20"/>
        <w:ind w:left="624" w:hanging="624"/>
      </w:pPr>
      <w:r>
        <w:rPr>
          <w:b/>
          <w:color w:val="B45309"/>
        </w:rPr>
        <w:t>[S]</w:t>
        <w:tab/>
      </w:r>
      <w:r>
        <w:t>H. E. Rauch, F. Tung y C. T. Striebel, "Maximum likelihood estimates of linear dynamic systems," AIAA J., vol. 3, no. 8, pp. 1445–1450, 1965.</w:t>
      </w:r>
    </w:p>
    <w:p>
      <w:pPr>
        <w:spacing w:after="140"/>
        <w:ind w:left="624"/>
      </w:pPr>
      <w:r>
        <w:rPr>
          <w:color w:val="555555"/>
          <w:sz w:val="18"/>
        </w:rPr>
        <w:t>doi: 10.2514/3.3166</w:t>
        <w:br/>
      </w:r>
      <w:r>
        <w:rPr>
          <w:b/>
          <w:sz w:val="19"/>
        </w:rPr>
        <w:t xml:space="preserve">Uso en Augur: </w:t>
      </w:r>
      <w:r>
        <w:rPr>
          <w:sz w:val="19"/>
        </w:rPr>
        <w:t>Suavizador RTS (Kalman fuera de línea) de la comparación.</w:t>
      </w:r>
    </w:p>
    <w:p>
      <w:pPr>
        <w:tabs>
          <w:tab w:pos="624" w:val="left"/>
        </w:tabs>
        <w:spacing w:after="20"/>
        <w:ind w:left="624" w:hanging="624"/>
      </w:pPr>
      <w:r>
        <w:rPr>
          <w:b/>
          <w:color w:val="B45309"/>
        </w:rPr>
        <w:t>[S]</w:t>
        <w:tab/>
      </w:r>
      <w:r>
        <w:t>S. G. Mallat, "A theory for multiresolution signal decomposition: The wavelet representation," IEEE Trans. Pattern Anal. Mach. Intell., vol. 11, no. 7, pp. 674–693, 1989.</w:t>
      </w:r>
    </w:p>
    <w:p>
      <w:pPr>
        <w:spacing w:after="140"/>
        <w:ind w:left="624"/>
      </w:pPr>
      <w:r>
        <w:rPr>
          <w:color w:val="555555"/>
          <w:sz w:val="18"/>
        </w:rPr>
        <w:t>doi: 10.1109/34.192463</w:t>
        <w:br/>
      </w:r>
      <w:r>
        <w:rPr>
          <w:b/>
          <w:sz w:val="19"/>
        </w:rPr>
        <w:t xml:space="preserve">Uso en Augur: </w:t>
      </w:r>
      <w:r>
        <w:rPr>
          <w:sz w:val="19"/>
        </w:rPr>
        <w:t>Tendencia por wavelet (sym8) de la comparación.</w:t>
      </w:r>
    </w:p>
    <w:p>
      <w:pPr>
        <w:pStyle w:val="Heading1"/>
      </w:pPr>
      <w:r>
        <w:t>5. Mercados hidro-dominados (comparación internacional)</w:t>
      </w:r>
    </w:p>
    <w:p>
      <w:pPr>
        <w:tabs>
          <w:tab w:pos="624" w:val="left"/>
        </w:tabs>
        <w:spacing w:after="20"/>
        <w:ind w:left="624" w:hanging="624"/>
      </w:pPr>
      <w:r>
        <w:rPr>
          <w:b/>
          <w:color w:val="B45309"/>
        </w:rPr>
        <w:t>[C]</w:t>
        <w:tab/>
      </w:r>
      <w:r>
        <w:t>G. Kapoor y N. Wichitaksorn, "Electricity price forecasting in New Zealand: A comparative analysis of statistical and machine learning models with feature selection," Appl. Energy, vol. 347, art. 121446, 2023.</w:t>
      </w:r>
    </w:p>
    <w:p>
      <w:pPr>
        <w:spacing w:after="140"/>
        <w:ind w:left="624"/>
      </w:pPr>
      <w:r>
        <w:rPr>
          <w:color w:val="555555"/>
          <w:sz w:val="18"/>
        </w:rPr>
        <w:t>doi: 10.1016/j.apenergy.2023.121446</w:t>
        <w:br/>
      </w:r>
      <w:r>
        <w:rPr>
          <w:b/>
          <w:sz w:val="19"/>
        </w:rPr>
        <w:t xml:space="preserve">Uso en Augur: </w:t>
      </w:r>
      <w:r>
        <w:rPr>
          <w:sz w:val="19"/>
        </w:rPr>
        <w:t>Comparación de MASE (Figura 5a). Ojo: transforman con Box-Cox y pronostican precio diario.</w:t>
      </w:r>
    </w:p>
    <w:p>
      <w:pPr>
        <w:tabs>
          <w:tab w:pos="624" w:val="left"/>
        </w:tabs>
        <w:spacing w:after="20"/>
        <w:ind w:left="624" w:hanging="624"/>
      </w:pPr>
      <w:r>
        <w:rPr>
          <w:b/>
          <w:color w:val="B45309"/>
        </w:rPr>
        <w:t>[L]</w:t>
        <w:tab/>
      </w:r>
      <w:r>
        <w:t>G. Kapoor, N. Wichitaksorn y W. Zhang, "Analyzing and forecasting electricity price using regime-switching models: The case of New Zealand market," J. Forecast., vol. 42, no. 8, pp. 2011–2026, 2023.</w:t>
      </w:r>
    </w:p>
    <w:p>
      <w:pPr>
        <w:spacing w:after="140"/>
        <w:ind w:left="624"/>
      </w:pPr>
      <w:r>
        <w:rPr>
          <w:color w:val="555555"/>
          <w:sz w:val="18"/>
        </w:rPr>
        <w:t>doi: 10.1002/for.3004</w:t>
        <w:br/>
      </w:r>
      <w:r>
        <w:rPr>
          <w:b/>
          <w:sz w:val="19"/>
        </w:rPr>
        <w:t xml:space="preserve">Uso en Augur: </w:t>
      </w:r>
      <w:r>
        <w:rPr>
          <w:sz w:val="19"/>
        </w:rPr>
        <w:t>Regímenes de Markov y EVT; más regímenes no mejoran el pronóstico.</w:t>
      </w:r>
    </w:p>
    <w:p>
      <w:pPr>
        <w:tabs>
          <w:tab w:pos="624" w:val="left"/>
        </w:tabs>
        <w:spacing w:after="20"/>
        <w:ind w:left="624" w:hanging="624"/>
      </w:pPr>
      <w:r>
        <w:rPr>
          <w:b/>
          <w:color w:val="B45309"/>
        </w:rPr>
        <w:t>[L]</w:t>
        <w:tab/>
      </w:r>
      <w:r>
        <w:t>M. T. D. Phan, T. T. Truong, H. P. Ha y D. T. Nguyen, "Electricity price forecasting across Norway's five bidding zones in the post-crisis era," preprint, 2026.</w:t>
      </w:r>
    </w:p>
    <w:p>
      <w:pPr>
        <w:spacing w:after="140"/>
        <w:ind w:left="624"/>
      </w:pPr>
      <w:r>
        <w:rPr>
          <w:color w:val="555555"/>
          <w:sz w:val="18"/>
        </w:rPr>
        <w:t>arXiv:2604.26634</w:t>
        <w:br/>
      </w:r>
      <w:r>
        <w:rPr>
          <w:b/>
          <w:sz w:val="19"/>
        </w:rPr>
        <w:t xml:space="preserve">Uso en Augur: </w:t>
      </w:r>
      <w:r>
        <w:rPr>
          <w:sz w:val="19"/>
        </w:rPr>
        <w:t>Referencia noruega con LightGBM; comparación de sMAPE y R².</w:t>
      </w:r>
    </w:p>
    <w:p>
      <w:pPr>
        <w:tabs>
          <w:tab w:pos="624" w:val="left"/>
        </w:tabs>
        <w:spacing w:after="20"/>
        <w:ind w:left="624" w:hanging="624"/>
      </w:pPr>
      <w:r>
        <w:rPr>
          <w:b/>
          <w:color w:val="B45309"/>
        </w:rPr>
        <w:t>[L]</w:t>
        <w:tab/>
      </w:r>
      <w:r>
        <w:t>A. Brigatto, A. Street y J. Dias Garcia, "How optimistic inflow forecasts distort dispatch, prices, and contracts in hydro-dominated power systems: evidence from Brazil," preprint, 2026.</w:t>
      </w:r>
    </w:p>
    <w:p>
      <w:pPr>
        <w:spacing w:after="140"/>
        <w:ind w:left="624"/>
      </w:pPr>
      <w:r>
        <w:rPr>
          <w:color w:val="555555"/>
          <w:sz w:val="18"/>
        </w:rPr>
        <w:t>arXiv:2607.00504</w:t>
        <w:br/>
      </w:r>
      <w:r>
        <w:rPr>
          <w:b/>
          <w:sz w:val="19"/>
        </w:rPr>
        <w:t xml:space="preserve">Uso en Augur: </w:t>
      </w:r>
      <w:r>
        <w:rPr>
          <w:sz w:val="19"/>
        </w:rPr>
        <w:t>Idea de «memoria hidrológica» (anomalía acumulada de aportes). Probada: no significativa (p = 0,52).</w:t>
      </w:r>
    </w:p>
    <w:p>
      <w:pPr>
        <w:tabs>
          <w:tab w:pos="624" w:val="left"/>
        </w:tabs>
        <w:spacing w:after="20"/>
        <w:ind w:left="624" w:hanging="624"/>
      </w:pPr>
      <w:r>
        <w:rPr>
          <w:b/>
          <w:color w:val="B45309"/>
        </w:rPr>
        <w:t>[V]</w:t>
        <w:tab/>
      </w:r>
      <w:r>
        <w:t>Dias, Lira y Freire, "Methodology for multi-step forecasting of electricity spot prices based on neural networks applied to the Brazilian energy market," Energies, vol. 17, no. 8, art. 1864, 2024.</w:t>
      </w:r>
    </w:p>
    <w:p>
      <w:pPr>
        <w:spacing w:after="140"/>
        <w:ind w:left="624"/>
      </w:pPr>
      <w:r>
        <w:rPr>
          <w:color w:val="555555"/>
          <w:sz w:val="18"/>
        </w:rPr>
        <w:t>https://www.mdpi.com/1996-1073/17/8/1864</w:t>
        <w:br/>
      </w:r>
      <w:r>
        <w:rPr>
          <w:b/>
          <w:sz w:val="19"/>
        </w:rPr>
        <w:t xml:space="preserve">Uso en Augur: </w:t>
      </w:r>
      <w:r>
        <w:rPr>
          <w:sz w:val="19"/>
        </w:rPr>
        <w:t>Poda por multicolinealidad (probada, no funciona) y referencia brasileña (Figura 5b). Nombres completos por verificar.</w:t>
      </w:r>
    </w:p>
    <w:p>
      <w:pPr>
        <w:tabs>
          <w:tab w:pos="624" w:val="left"/>
        </w:tabs>
        <w:spacing w:after="20"/>
        <w:ind w:left="624" w:hanging="624"/>
      </w:pPr>
      <w:r>
        <w:rPr>
          <w:b/>
          <w:color w:val="B45309"/>
        </w:rPr>
        <w:t>[V]</w:t>
        <w:tab/>
      </w:r>
      <w:r>
        <w:t>Nunes Jr., Ferreira y da Costa Pinho, "Information theoretic learning applied to daily streamflow forecast and its impact on the Brazilian hourly energy spot prices," J. Control Autom. Electr. Syst., 2024.</w:t>
      </w:r>
    </w:p>
    <w:p>
      <w:pPr>
        <w:spacing w:after="140"/>
        <w:ind w:left="624"/>
      </w:pPr>
      <w:r>
        <w:rPr>
          <w:color w:val="555555"/>
          <w:sz w:val="18"/>
        </w:rPr>
        <w:t>Volumen y páginas por verificar</w:t>
        <w:br/>
      </w:r>
      <w:r>
        <w:rPr>
          <w:b/>
          <w:sz w:val="19"/>
        </w:rPr>
        <w:t xml:space="preserve">Uso en Augur: </w:t>
      </w:r>
      <w:r>
        <w:rPr>
          <w:sz w:val="19"/>
        </w:rPr>
        <w:t>Pérdida MCC (correntropía), probada en mcc_perdida_robusta_24h.py.</w:t>
      </w:r>
    </w:p>
    <w:p>
      <w:pPr>
        <w:tabs>
          <w:tab w:pos="624" w:val="left"/>
        </w:tabs>
        <w:spacing w:after="20"/>
        <w:ind w:left="624" w:hanging="624"/>
      </w:pPr>
      <w:r>
        <w:rPr>
          <w:b/>
          <w:color w:val="B45309"/>
        </w:rPr>
        <w:t>[V]</w:t>
        <w:tab/>
      </w:r>
      <w:r>
        <w:t>Albani, Marcavillaca, Moreira et al., "Short-term forecasting of forward prices in the Brazilian electricity market with a hybrid stochastic-neural network model," Energy Econ., vol. 148, 2025.</w:t>
      </w:r>
    </w:p>
    <w:p>
      <w:pPr>
        <w:spacing w:after="140"/>
        <w:ind w:left="624"/>
      </w:pPr>
      <w:r>
        <w:rPr>
          <w:color w:val="555555"/>
          <w:sz w:val="18"/>
        </w:rPr>
        <w:t>Autores y páginas por verificar</w:t>
        <w:br/>
      </w:r>
      <w:r>
        <w:rPr>
          <w:b/>
          <w:sz w:val="19"/>
        </w:rPr>
        <w:t xml:space="preserve">Uso en Augur: </w:t>
      </w:r>
      <w:r>
        <w:rPr>
          <w:sz w:val="19"/>
        </w:rPr>
        <w:t>Compuerta por régimen hidrológico; probada en qra_por_regimen.py: no sirve.</w:t>
      </w:r>
    </w:p>
    <w:p>
      <w:pPr>
        <w:pStyle w:val="Heading1"/>
      </w:pPr>
      <w:r>
        <w:t>6. Antecedentes en Colombia</w:t>
      </w:r>
    </w:p>
    <w:p>
      <w:pPr>
        <w:tabs>
          <w:tab w:pos="624" w:val="left"/>
        </w:tabs>
        <w:spacing w:after="20"/>
        <w:ind w:left="624" w:hanging="624"/>
      </w:pPr>
      <w:r>
        <w:rPr>
          <w:b/>
          <w:color w:val="B45309"/>
        </w:rPr>
        <w:t>[C]</w:t>
        <w:tab/>
      </w:r>
      <w:r>
        <w:t>A. P. Agudelo, J. M. López-Lezama y E. Velilla, "Predicción del precio de la electricidad en la bolsa mediante un modelo neuronal no-lineal autorregresivo con entradas exógenas," Inf. Tecnol., vol. 26, no. 6, pp. 99–108, 2015.</w:t>
      </w:r>
    </w:p>
    <w:p>
      <w:pPr>
        <w:spacing w:after="140"/>
        <w:ind w:left="624"/>
      </w:pPr>
      <w:r>
        <w:rPr>
          <w:color w:val="555555"/>
          <w:sz w:val="18"/>
        </w:rPr>
        <w:t>doi: 10.4067/S0718-07642015000600012</w:t>
        <w:br/>
      </w:r>
      <w:r>
        <w:rPr>
          <w:b/>
          <w:sz w:val="19"/>
        </w:rPr>
        <w:t xml:space="preserve">Uso en Augur: </w:t>
      </w:r>
      <w:r>
        <w:rPr>
          <w:sz w:val="19"/>
        </w:rPr>
        <w:t>Antecedente colombiano (NARX).</w:t>
      </w:r>
    </w:p>
    <w:p>
      <w:pPr>
        <w:tabs>
          <w:tab w:pos="624" w:val="left"/>
        </w:tabs>
        <w:spacing w:after="20"/>
        <w:ind w:left="624" w:hanging="624"/>
      </w:pPr>
      <w:r>
        <w:rPr>
          <w:b/>
          <w:color w:val="B45309"/>
        </w:rPr>
        <w:t>[C]</w:t>
        <w:tab/>
      </w:r>
      <w:r>
        <w:t>A. Muñoz-Santiago, J. Urquijo-Vanstrahlengs, A. Castro-Otero y J. Lombana, "Pronóstico del precio de la energía en Colombia utilizando modelos ARIMA con IGARCH," Rev. Econ. Rosario, vol. 20, no. 1, pp. 127–161, 2017.</w:t>
      </w:r>
    </w:p>
    <w:p>
      <w:pPr>
        <w:spacing w:after="140"/>
        <w:ind w:left="624"/>
      </w:pPr>
      <w:r>
        <w:rPr>
          <w:color w:val="555555"/>
          <w:sz w:val="18"/>
        </w:rPr>
        <w:t>doi: 10.12804/revistas.urosario.edu.co/economia/a.6152</w:t>
        <w:br/>
      </w:r>
      <w:r>
        <w:rPr>
          <w:b/>
          <w:sz w:val="19"/>
        </w:rPr>
        <w:t xml:space="preserve">Uso en Augur: </w:t>
      </w:r>
      <w:r>
        <w:rPr>
          <w:sz w:val="19"/>
        </w:rPr>
        <w:t>Base del ARX+GARCH.</w:t>
      </w:r>
    </w:p>
    <w:p>
      <w:pPr>
        <w:tabs>
          <w:tab w:pos="624" w:val="left"/>
        </w:tabs>
        <w:spacing w:after="20"/>
        <w:ind w:left="624" w:hanging="624"/>
      </w:pPr>
      <w:r>
        <w:rPr>
          <w:b/>
          <w:color w:val="B45309"/>
        </w:rPr>
        <w:t>[C]</w:t>
        <w:tab/>
      </w:r>
      <w:r>
        <w:t>J. Barrientos Marín, E. Tabares Orozco y E. Velilla, "Forecasting electricity price in Colombia: A comparison between neural network, ARMA process and hybrid models," Int. J. Energy Econ. Policy, vol. 8, no. 3, pp. 97–106, 2018.</w:t>
      </w:r>
    </w:p>
    <w:p>
      <w:pPr>
        <w:spacing w:after="140"/>
        <w:ind w:left="624"/>
      </w:pPr>
      <w:r>
        <w:rPr>
          <w:color w:val="555555"/>
          <w:sz w:val="18"/>
        </w:rPr>
        <w:t>—</w:t>
        <w:br/>
      </w:r>
      <w:r>
        <w:rPr>
          <w:b/>
          <w:sz w:val="19"/>
        </w:rPr>
        <w:t xml:space="preserve">Uso en Augur: </w:t>
      </w:r>
      <w:r>
        <w:rPr>
          <w:sz w:val="19"/>
        </w:rPr>
        <w:t>Antecedente colombiano directo.</w:t>
      </w:r>
    </w:p>
    <w:p>
      <w:pPr>
        <w:tabs>
          <w:tab w:pos="624" w:val="left"/>
        </w:tabs>
        <w:spacing w:after="20"/>
        <w:ind w:left="624" w:hanging="624"/>
      </w:pPr>
      <w:r>
        <w:rPr>
          <w:b/>
          <w:color w:val="B45309"/>
        </w:rPr>
        <w:t>[C]</w:t>
        <w:tab/>
      </w:r>
      <w:r>
        <w:t>S. Gallón y J. Barrientos, "Forecasting the Colombian electricity spot price under a functional approach," Int. J. Energy Econ. Policy, vol. 11, no. 2, pp. 67–74, 2021.</w:t>
      </w:r>
    </w:p>
    <w:p>
      <w:pPr>
        <w:spacing w:after="140"/>
        <w:ind w:left="624"/>
      </w:pPr>
      <w:r>
        <w:rPr>
          <w:color w:val="555555"/>
          <w:sz w:val="18"/>
        </w:rPr>
        <w:t>doi: 10.32479/ijeep.10607 (impreso en el PDF; en Crossref resuelve a otro artículo, conviene citar también la URL de econjournals.com)</w:t>
        <w:br/>
      </w:r>
      <w:r>
        <w:rPr>
          <w:b/>
          <w:sz w:val="19"/>
        </w:rPr>
        <w:t xml:space="preserve">Uso en Augur: </w:t>
      </w:r>
      <w:r>
        <w:rPr>
          <w:sz w:val="19"/>
        </w:rPr>
        <w:t>Punto de referencia colombiano y enfoque funcional.</w:t>
      </w:r>
    </w:p>
    <w:p>
      <w:pPr>
        <w:tabs>
          <w:tab w:pos="624" w:val="left"/>
        </w:tabs>
        <w:spacing w:after="20"/>
        <w:ind w:left="624" w:hanging="624"/>
      </w:pPr>
      <w:r>
        <w:rPr>
          <w:b/>
          <w:color w:val="B45309"/>
        </w:rPr>
        <w:t>[L]</w:t>
        <w:tab/>
      </w:r>
      <w:r>
        <w:t>C. A. Ferraro Rodríguez, "Análisis de correlaciones del precio de bolsa de energía eléctrica con variables del sector eléctrico y económicas," tesis de maestría, Univ. Nacional de Colombia, Medellín, 2025.</w:t>
      </w:r>
    </w:p>
    <w:p>
      <w:pPr>
        <w:spacing w:after="140"/>
        <w:ind w:left="624"/>
      </w:pPr>
      <w:r>
        <w:rPr>
          <w:color w:val="555555"/>
          <w:sz w:val="18"/>
        </w:rPr>
        <w:t>repositorio.unal.edu.co/items/05583774-4f00-4fb1-8cfa-ecf426497670</w:t>
        <w:br/>
      </w:r>
      <w:r>
        <w:rPr>
          <w:b/>
          <w:sz w:val="19"/>
        </w:rPr>
        <w:t xml:space="preserve">Uso en Augur: </w:t>
      </w:r>
      <w:r>
        <w:rPr>
          <w:sz w:val="19"/>
        </w:rPr>
        <w:t>Respalda corregir el predespacho en vez de modelar desde cero (el precio lo fija la oferta marginal).</w:t>
      </w:r>
    </w:p>
    <w:p>
      <w:pPr>
        <w:tabs>
          <w:tab w:pos="624" w:val="left"/>
        </w:tabs>
        <w:spacing w:after="20"/>
        <w:ind w:left="624" w:hanging="624"/>
      </w:pPr>
      <w:r>
        <w:rPr>
          <w:b/>
          <w:color w:val="B45309"/>
        </w:rPr>
        <w:t>[L]</w:t>
        <w:tab/>
      </w:r>
      <w:r>
        <w:t>J. D. Becerra Pulido, "Pronóstico del precio diario de bolsa en el mercado eléctrico colombiano usando modelos autorregresivos," proyecto de grado, Ing. Electrónica, Univ. Santo Tomás, Bogotá, 2025.</w:t>
      </w:r>
    </w:p>
    <w:p>
      <w:pPr>
        <w:spacing w:after="140"/>
        <w:ind w:left="624"/>
      </w:pPr>
      <w:r>
        <w:rPr>
          <w:color w:val="555555"/>
          <w:sz w:val="18"/>
        </w:rPr>
        <w:t>repository.usta.edu.co/items/d8dd82e6-6d1c-418d-915d-f035cef594d9</w:t>
        <w:br/>
      </w:r>
      <w:r>
        <w:rPr>
          <w:b/>
          <w:sz w:val="19"/>
        </w:rPr>
        <w:t xml:space="preserve">Uso en Augur: </w:t>
      </w:r>
      <w:r>
        <w:rPr>
          <w:sz w:val="19"/>
        </w:rPr>
        <w:t>El trabajo más comparable (mismo programa). Usa el precio del día anterior, que XM no publica a tiempo.</w:t>
      </w:r>
    </w:p>
    <w:p>
      <w:pPr>
        <w:tabs>
          <w:tab w:pos="624" w:val="left"/>
        </w:tabs>
        <w:spacing w:after="20"/>
        <w:ind w:left="624" w:hanging="624"/>
      </w:pPr>
      <w:r>
        <w:rPr>
          <w:b/>
          <w:color w:val="B45309"/>
        </w:rPr>
        <w:t>[L]</w:t>
        <w:tab/>
      </w:r>
      <w:r>
        <w:t>V. García del Villar, N. Verano Urueta y R. Ranauro Argumedo, "Diseño de un modelo estadístico para la predicción de los precios de bolsa de energía en Colombia," proyecto final, Univ. del Norte, 2020.</w:t>
      </w:r>
    </w:p>
    <w:p>
      <w:pPr>
        <w:spacing w:after="140"/>
        <w:ind w:left="624"/>
      </w:pPr>
      <w:r>
        <w:rPr>
          <w:color w:val="555555"/>
          <w:sz w:val="18"/>
        </w:rPr>
        <w:t>hdl.handle.net/10584/9283</w:t>
        <w:br/>
      </w:r>
      <w:r>
        <w:rPr>
          <w:b/>
          <w:sz w:val="19"/>
        </w:rPr>
        <w:t xml:space="preserve">Uso en Augur: </w:t>
      </w:r>
      <w:r>
        <w:rPr>
          <w:sz w:val="19"/>
        </w:rPr>
        <w:t>Antecedente de Uninorte (solo el póster es público).</w:t>
      </w:r>
    </w:p>
    <w:p>
      <w:pPr>
        <w:tabs>
          <w:tab w:pos="624" w:val="left"/>
        </w:tabs>
        <w:spacing w:after="20"/>
        <w:ind w:left="624" w:hanging="624"/>
      </w:pPr>
      <w:r>
        <w:rPr>
          <w:b/>
          <w:color w:val="B45309"/>
        </w:rPr>
        <w:t>[L]</w:t>
        <w:tab/>
      </w:r>
      <w:r>
        <w:t>J. Sánchez y C. Noguera, "Estimación del máximo precio ofertado en el mercado de energía mayorista colombiano apoyado en IA," proyecto final, Univ. del Norte, 2024.</w:t>
      </w:r>
    </w:p>
    <w:p>
      <w:pPr>
        <w:spacing w:after="140"/>
        <w:ind w:left="624"/>
      </w:pPr>
      <w:r>
        <w:rPr>
          <w:color w:val="555555"/>
          <w:sz w:val="18"/>
        </w:rPr>
        <w:t>hdl.handle.net/10584/13009</w:t>
        <w:br/>
      </w:r>
      <w:r>
        <w:rPr>
          <w:b/>
          <w:sz w:val="19"/>
        </w:rPr>
        <w:t xml:space="preserve">Uso en Augur: </w:t>
      </w:r>
      <w:r>
        <w:rPr>
          <w:sz w:val="19"/>
        </w:rPr>
        <w:t>Antecedente de Uninorte sobre el MPO y el riesgo regulatorio.</w:t>
      </w:r>
    </w:p>
    <w:p>
      <w:pPr>
        <w:tabs>
          <w:tab w:pos="624" w:val="left"/>
        </w:tabs>
        <w:spacing w:after="20"/>
        <w:ind w:left="624" w:hanging="624"/>
      </w:pPr>
      <w:r>
        <w:rPr>
          <w:b/>
          <w:color w:val="B45309"/>
        </w:rPr>
        <w:t>[V]</w:t>
        <w:tab/>
      </w:r>
      <w:r>
        <w:t>L. Herrera-Mejía et al., artículo de AES Colombia sobre clasificación del régimen de oferta de plantas hidroeléctricas, Smart Energy (Elsevier), 2025.</w:t>
      </w:r>
    </w:p>
    <w:p>
      <w:pPr>
        <w:spacing w:after="140"/>
        <w:ind w:left="624"/>
      </w:pPr>
      <w:r>
        <w:rPr>
          <w:color w:val="555555"/>
          <w:sz w:val="18"/>
        </w:rPr>
        <w:t>Título exacto por verificar</w:t>
        <w:br/>
      </w:r>
      <w:r>
        <w:rPr>
          <w:b/>
          <w:sz w:val="19"/>
        </w:rPr>
        <w:t xml:space="preserve">Uso en Augur: </w:t>
      </w:r>
      <w:r>
        <w:rPr>
          <w:sz w:val="19"/>
        </w:rPr>
        <w:t>Inspiró el clasificador de régimen alto + regresores por régimen.</w:t>
      </w:r>
    </w:p>
    <w:p>
      <w:pPr>
        <w:tabs>
          <w:tab w:pos="624" w:val="left"/>
        </w:tabs>
        <w:spacing w:after="20"/>
        <w:ind w:left="624" w:hanging="624"/>
      </w:pPr>
      <w:r>
        <w:rPr>
          <w:b/>
          <w:color w:val="B45309"/>
        </w:rPr>
        <w:t>[C]</w:t>
        <w:tab/>
      </w:r>
      <w:r>
        <w:t>International Energy Agency, "Colombia 2023 – Energy Policy Review," IEA, París, 2023.</w:t>
      </w:r>
    </w:p>
    <w:p>
      <w:pPr>
        <w:spacing w:after="140"/>
        <w:ind w:left="624"/>
      </w:pPr>
      <w:r>
        <w:rPr>
          <w:color w:val="555555"/>
          <w:sz w:val="18"/>
        </w:rPr>
        <w:t>https://www.iea.org/reports/colombia-2023</w:t>
        <w:br/>
      </w:r>
      <w:r>
        <w:rPr>
          <w:b/>
          <w:sz w:val="19"/>
        </w:rPr>
        <w:t xml:space="preserve">Uso en Augur: </w:t>
      </w:r>
      <w:r>
        <w:rPr>
          <w:sz w:val="19"/>
        </w:rPr>
        <w:t>Contexto de la matriz y del mercado.</w:t>
      </w:r>
    </w:p>
    <w:p>
      <w:pPr>
        <w:tabs>
          <w:tab w:pos="624" w:val="left"/>
        </w:tabs>
        <w:spacing w:after="20"/>
        <w:ind w:left="624" w:hanging="624"/>
      </w:pPr>
      <w:r>
        <w:rPr>
          <w:b/>
          <w:color w:val="B45309"/>
        </w:rPr>
        <w:t>[V]</w:t>
        <w:tab/>
      </w:r>
      <w:r>
        <w:t>Low Carbon Power, "Electricity in Colombia," 2025.</w:t>
      </w:r>
    </w:p>
    <w:p>
      <w:pPr>
        <w:spacing w:after="140"/>
        <w:ind w:left="624"/>
      </w:pPr>
      <w:r>
        <w:rPr>
          <w:color w:val="555555"/>
          <w:sz w:val="18"/>
        </w:rPr>
        <w:t>https://lowcarbonpower.org/region/Colombia</w:t>
        <w:br/>
      </w:r>
      <w:r>
        <w:rPr>
          <w:b/>
          <w:sz w:val="19"/>
        </w:rPr>
        <w:t xml:space="preserve">Uso en Augur: </w:t>
      </w:r>
      <w:r>
        <w:rPr>
          <w:sz w:val="19"/>
        </w:rPr>
        <w:t>Participación hidroeléctrica (70-74 %).</w:t>
      </w:r>
    </w:p>
    <w:p>
      <w:pPr>
        <w:pStyle w:val="Heading1"/>
      </w:pPr>
      <w:r>
        <w:t>7. Regulación (CREG) y normas</w:t>
      </w:r>
    </w:p>
    <w:p>
      <w:pPr>
        <w:tabs>
          <w:tab w:pos="624" w:val="left"/>
        </w:tabs>
        <w:spacing w:after="20"/>
        <w:ind w:left="624" w:hanging="624"/>
      </w:pPr>
      <w:r>
        <w:rPr>
          <w:b/>
          <w:color w:val="B45309"/>
        </w:rPr>
        <w:t>[C]</w:t>
        <w:tab/>
      </w:r>
      <w:r>
        <w:t>CREG, "Resolución CREG 025 de 1995, por la cual se establece el Código de Redes," Bogotá, 1995.</w:t>
      </w:r>
    </w:p>
    <w:p>
      <w:pPr>
        <w:spacing w:after="140"/>
        <w:ind w:left="624"/>
      </w:pPr>
      <w:r>
        <w:rPr>
          <w:color w:val="555555"/>
          <w:sz w:val="18"/>
        </w:rPr>
        <w:t>gestornormativo.creg.gov.co</w:t>
        <w:br/>
      </w:r>
      <w:r>
        <w:rPr>
          <w:b/>
          <w:sz w:val="19"/>
        </w:rPr>
        <w:t xml:space="preserve">Uso en Augur: </w:t>
      </w:r>
      <w:r>
        <w:rPr>
          <w:sz w:val="19"/>
        </w:rPr>
        <w:t>Despacho y predespacho.</w:t>
      </w:r>
    </w:p>
    <w:p>
      <w:pPr>
        <w:tabs>
          <w:tab w:pos="624" w:val="left"/>
        </w:tabs>
        <w:spacing w:after="20"/>
        <w:ind w:left="624" w:hanging="624"/>
      </w:pPr>
      <w:r>
        <w:rPr>
          <w:b/>
          <w:color w:val="B45309"/>
        </w:rPr>
        <w:t>[L]</w:t>
        <w:tab/>
      </w:r>
      <w:r>
        <w:t>CREG, Resolución 024 de 1995 (modificada por la 011 de 2010) y Resolución 051 de 2009 (modificada por la 101 028 de 2022): formación del precio de bolsa.</w:t>
      </w:r>
    </w:p>
    <w:p>
      <w:pPr>
        <w:spacing w:after="140"/>
        <w:ind w:left="624"/>
      </w:pPr>
      <w:r>
        <w:rPr>
          <w:color w:val="555555"/>
          <w:sz w:val="18"/>
        </w:rPr>
        <w:t>gestornormativo.creg.gov.co</w:t>
        <w:br/>
      </w:r>
      <w:r>
        <w:rPr>
          <w:b/>
          <w:sz w:val="19"/>
        </w:rPr>
        <w:t xml:space="preserve">Uso en Augur: </w:t>
      </w:r>
      <w:r>
        <w:rPr>
          <w:sz w:val="19"/>
        </w:rPr>
        <w:t>Despacho ideal ex post, MPO del recurso marginal y ΔI.</w:t>
      </w:r>
    </w:p>
    <w:p>
      <w:pPr>
        <w:tabs>
          <w:tab w:pos="624" w:val="left"/>
        </w:tabs>
        <w:spacing w:after="20"/>
        <w:ind w:left="624" w:hanging="624"/>
      </w:pPr>
      <w:r>
        <w:rPr>
          <w:b/>
          <w:color w:val="B45309"/>
        </w:rPr>
        <w:t>[L]</w:t>
        <w:tab/>
      </w:r>
      <w:r>
        <w:t>CREG, Documento CREG 901 044 de 2023, "Metodología para la determinación del precio de bolsa — propuesta de ajuste temporal" (soporte del Proyecto de Resolución 701 028 de 2023).</w:t>
      </w:r>
    </w:p>
    <w:p>
      <w:pPr>
        <w:spacing w:after="140"/>
        <w:ind w:left="624"/>
      </w:pPr>
      <w:r>
        <w:rPr>
          <w:color w:val="555555"/>
          <w:sz w:val="18"/>
        </w:rPr>
        <w:t>gestornormativo.creg.gov.co/gestor/entorno/docs/originales/Proyecto_Resoluci%C3%B3n_CREG_701_028_2023/</w:t>
        <w:br/>
      </w:r>
      <w:r>
        <w:rPr>
          <w:b/>
          <w:sz w:val="19"/>
        </w:rPr>
        <w:t xml:space="preserve">Uso en Augur: </w:t>
      </w:r>
      <w:r>
        <w:rPr>
          <w:sz w:val="19"/>
        </w:rPr>
        <w:t>Datos del planteamiento: 67 % de capacidad hidráulica, concentración, índice de Lerner.</w:t>
      </w:r>
    </w:p>
    <w:p>
      <w:pPr>
        <w:tabs>
          <w:tab w:pos="624" w:val="left"/>
        </w:tabs>
        <w:spacing w:after="20"/>
        <w:ind w:left="624" w:hanging="624"/>
      </w:pPr>
      <w:r>
        <w:rPr>
          <w:b/>
          <w:color w:val="B45309"/>
        </w:rPr>
        <w:t>[L]</w:t>
        <w:tab/>
      </w:r>
      <w:r>
        <w:t>CREG, Proyecto de Resolución 701 049 de 2024 y Documento 901 097 de 2024; SIC, Concepto 183210 de 2024.</w:t>
      </w:r>
    </w:p>
    <w:p>
      <w:pPr>
        <w:spacing w:after="140"/>
        <w:ind w:left="624"/>
      </w:pPr>
      <w:r>
        <w:rPr>
          <w:color w:val="555555"/>
          <w:sz w:val="18"/>
        </w:rPr>
        <w:t>gestornormativo.creg.gov.co/gestor/entorno/docs/originales/Proyecto_Resoluci%C3%B3n_CREG_701_049_2024/</w:t>
        <w:br/>
      </w:r>
      <w:r>
        <w:rPr>
          <w:b/>
          <w:sz w:val="19"/>
        </w:rPr>
        <w:t xml:space="preserve">Uso en Augur: </w:t>
      </w:r>
      <w:r>
        <w:rPr>
          <w:sz w:val="19"/>
        </w:rPr>
        <w:t>Ajuste del MPO hidráulico (no adoptado).</w:t>
      </w:r>
    </w:p>
    <w:p>
      <w:pPr>
        <w:tabs>
          <w:tab w:pos="624" w:val="left"/>
        </w:tabs>
        <w:spacing w:after="20"/>
        <w:ind w:left="624" w:hanging="624"/>
      </w:pPr>
      <w:r>
        <w:rPr>
          <w:b/>
          <w:color w:val="B45309"/>
        </w:rPr>
        <w:t>[L]</w:t>
        <w:tab/>
      </w:r>
      <w:r>
        <w:t>CREG, Resoluciones 101 056 y 101 059 de 2024 (precio de oferta ajustado; modifican la CREG 026 de 2014).</w:t>
      </w:r>
    </w:p>
    <w:p>
      <w:pPr>
        <w:spacing w:after="140"/>
        <w:ind w:left="624"/>
      </w:pPr>
      <w:r>
        <w:rPr>
          <w:color w:val="555555"/>
          <w:sz w:val="18"/>
        </w:rPr>
        <w:t>gestornormativo.creg.gov.co/gestor/entorno/docs/resolucion_creg_101-59_2024.htm</w:t>
        <w:br/>
      </w:r>
      <w:r>
        <w:rPr>
          <w:b/>
          <w:sz w:val="19"/>
        </w:rPr>
        <w:t xml:space="preserve">Uso en Augur: </w:t>
      </w:r>
      <w:r>
        <w:rPr>
          <w:sz w:val="19"/>
        </w:rPr>
        <w:t>Cambios de regla dentro del periodo de entrenamiento (sep-oct 2024).</w:t>
      </w:r>
    </w:p>
    <w:p>
      <w:pPr>
        <w:tabs>
          <w:tab w:pos="624" w:val="left"/>
        </w:tabs>
        <w:spacing w:after="20"/>
        <w:ind w:left="624" w:hanging="624"/>
      </w:pPr>
      <w:r>
        <w:rPr>
          <w:b/>
          <w:color w:val="B45309"/>
        </w:rPr>
        <w:t>[L]</w:t>
        <w:tab/>
      </w:r>
      <w:r>
        <w:t>CREG, Resolución 101 127 de 2026 y Documento 901 431 de 2026, "Medidas transitorias para asegurar el abastecimiento de energía ante el fenómeno de El Niño 2026-2027".</w:t>
      </w:r>
    </w:p>
    <w:p>
      <w:pPr>
        <w:spacing w:after="140"/>
        <w:ind w:left="624"/>
      </w:pPr>
      <w:r>
        <w:rPr>
          <w:color w:val="555555"/>
          <w:sz w:val="18"/>
        </w:rPr>
        <w:t>gestornormativo.creg.gov.co/gestor/entorno/docs/originales/Resoluci%C3%B3n_CREG_101_127_2026/</w:t>
        <w:br/>
      </w:r>
      <w:r>
        <w:rPr>
          <w:b/>
          <w:sz w:val="19"/>
        </w:rPr>
        <w:t xml:space="preserve">Uso en Augur: </w:t>
      </w:r>
      <w:r>
        <w:rPr>
          <w:sz w:val="19"/>
        </w:rPr>
        <w:t>Cambió la formación del precio desde sep-2026; explica el mayor error de sep-oct 2026.</w:t>
      </w:r>
    </w:p>
    <w:p>
      <w:pPr>
        <w:tabs>
          <w:tab w:pos="624" w:val="left"/>
        </w:tabs>
        <w:spacing w:after="20"/>
        <w:ind w:left="624" w:hanging="624"/>
      </w:pPr>
      <w:r>
        <w:rPr>
          <w:b/>
          <w:color w:val="B45309"/>
        </w:rPr>
        <w:t>[L]</w:t>
        <w:tab/>
      </w:r>
      <w:r>
        <w:t>CREG, Resolución 157 de 2011 (modificada por la 211 de 2015) y Concepto 6762 de 2020: versiones de liquidación TX1, TX2, TXR y TXF.</w:t>
      </w:r>
    </w:p>
    <w:p>
      <w:pPr>
        <w:spacing w:after="140"/>
        <w:ind w:left="624"/>
      </w:pPr>
      <w:r>
        <w:rPr>
          <w:color w:val="555555"/>
          <w:sz w:val="18"/>
        </w:rPr>
        <w:t>gestornormativo.creg.gov.co/gestor/entorno/docs/ee_2_9_2_3.htm</w:t>
        <w:br/>
      </w:r>
      <w:r>
        <w:rPr>
          <w:b/>
          <w:sz w:val="19"/>
        </w:rPr>
        <w:t xml:space="preserve">Uso en Augur: </w:t>
      </w:r>
      <w:r>
        <w:rPr>
          <w:sz w:val="19"/>
        </w:rPr>
        <w:t>Por qué el precio real llega con unos 3 días de rezago (corte del escenario realista).</w:t>
      </w:r>
    </w:p>
    <w:p>
      <w:pPr>
        <w:tabs>
          <w:tab w:pos="624" w:val="left"/>
        </w:tabs>
        <w:spacing w:after="20"/>
        <w:ind w:left="624" w:hanging="624"/>
      </w:pPr>
      <w:r>
        <w:rPr>
          <w:b/>
          <w:color w:val="B45309"/>
        </w:rPr>
        <w:t>[L]</w:t>
        <w:tab/>
      </w:r>
      <w:r>
        <w:t>CREG, Resoluciones 071 de 2006, 140 de 2017 y 101 066 de 2024: precio de escasez y precio de transacciones en bolsa (PTB).</w:t>
      </w:r>
    </w:p>
    <w:p>
      <w:pPr>
        <w:spacing w:after="140"/>
        <w:ind w:left="624"/>
      </w:pPr>
      <w:r>
        <w:rPr>
          <w:color w:val="555555"/>
          <w:sz w:val="18"/>
        </w:rPr>
        <w:t>gestornormativo.creg.gov.co/gestor/entorno/docs/resolucion_creg_0140_2017.htm</w:t>
        <w:br/>
      </w:r>
      <w:r>
        <w:rPr>
          <w:b/>
          <w:sz w:val="19"/>
        </w:rPr>
        <w:t xml:space="preserve">Uso en Augur: </w:t>
      </w:r>
      <w:r>
        <w:rPr>
          <w:sz w:val="19"/>
        </w:rPr>
        <w:t>Limitación: el PTB fue menor que el PBN en 360 horas de 2026.</w:t>
      </w:r>
    </w:p>
    <w:p>
      <w:pPr>
        <w:tabs>
          <w:tab w:pos="624" w:val="left"/>
        </w:tabs>
        <w:spacing w:after="20"/>
        <w:ind w:left="624" w:hanging="624"/>
      </w:pPr>
      <w:r>
        <w:rPr>
          <w:b/>
          <w:color w:val="B45309"/>
        </w:rPr>
        <w:t>[C]</w:t>
        <w:tab/>
      </w:r>
      <w:r>
        <w:t>CREG, "Resolución CREG 101 018 de 2022," Bogotá, 2022.</w:t>
      </w:r>
    </w:p>
    <w:p>
      <w:pPr>
        <w:spacing w:after="140"/>
        <w:ind w:left="624"/>
      </w:pPr>
      <w:r>
        <w:rPr>
          <w:color w:val="555555"/>
          <w:sz w:val="18"/>
        </w:rPr>
        <w:t>gestornormativo.creg.gov.co</w:t>
        <w:br/>
      </w:r>
      <w:r>
        <w:rPr>
          <w:b/>
          <w:sz w:val="19"/>
        </w:rPr>
        <w:t xml:space="preserve">Uso en Augur: </w:t>
      </w:r>
      <w:r>
        <w:rPr>
          <w:sz w:val="19"/>
        </w:rPr>
        <w:t>Citada en el informe (marco regulatorio).</w:t>
      </w:r>
    </w:p>
    <w:p>
      <w:pPr>
        <w:tabs>
          <w:tab w:pos="624" w:val="left"/>
        </w:tabs>
        <w:spacing w:after="20"/>
        <w:ind w:left="624" w:hanging="624"/>
      </w:pPr>
      <w:r>
        <w:rPr>
          <w:b/>
          <w:color w:val="B45309"/>
        </w:rPr>
        <w:t>[C]</w:t>
        <w:tab/>
      </w:r>
      <w:r>
        <w:t>Congreso de Colombia, "Ley Estatutaria 1581 de 2012" (protección de datos personales).</w:t>
      </w:r>
    </w:p>
    <w:p>
      <w:pPr>
        <w:spacing w:after="140"/>
        <w:ind w:left="624"/>
      </w:pPr>
      <w:r>
        <w:rPr>
          <w:color w:val="555555"/>
          <w:sz w:val="18"/>
        </w:rPr>
        <w:t>—</w:t>
        <w:br/>
      </w:r>
      <w:r>
        <w:rPr>
          <w:b/>
          <w:sz w:val="19"/>
        </w:rPr>
        <w:t xml:space="preserve">Uso en Augur: </w:t>
      </w:r>
      <w:r>
        <w:rPr>
          <w:sz w:val="19"/>
        </w:rPr>
        <w:t>Restricción de diseño: el proyecto solo usa datos públicos agregados.</w:t>
      </w:r>
    </w:p>
    <w:p>
      <w:pPr>
        <w:tabs>
          <w:tab w:pos="624" w:val="left"/>
        </w:tabs>
        <w:spacing w:after="20"/>
        <w:ind w:left="624" w:hanging="624"/>
      </w:pPr>
      <w:r>
        <w:rPr>
          <w:b/>
          <w:color w:val="B45309"/>
        </w:rPr>
        <w:t>[C]</w:t>
        <w:tab/>
      </w:r>
      <w:r>
        <w:t>ISO 8601-1:2019, Date and time — Representations for information interchange — Part 1.</w:t>
      </w:r>
    </w:p>
    <w:p>
      <w:pPr>
        <w:spacing w:after="140"/>
        <w:ind w:left="624"/>
      </w:pPr>
      <w:r>
        <w:rPr>
          <w:color w:val="555555"/>
          <w:sz w:val="18"/>
        </w:rPr>
        <w:t>—</w:t>
        <w:br/>
      </w:r>
      <w:r>
        <w:rPr>
          <w:b/>
          <w:sz w:val="19"/>
        </w:rPr>
        <w:t xml:space="preserve">Uso en Augur: </w:t>
      </w:r>
      <w:r>
        <w:rPr>
          <w:sz w:val="19"/>
        </w:rPr>
        <w:t>Formato de fechas y horas de los contratos de datos.</w:t>
      </w:r>
    </w:p>
    <w:p>
      <w:pPr>
        <w:tabs>
          <w:tab w:pos="624" w:val="left"/>
        </w:tabs>
        <w:spacing w:after="20"/>
        <w:ind w:left="624" w:hanging="624"/>
      </w:pPr>
      <w:r>
        <w:rPr>
          <w:b/>
          <w:color w:val="B45309"/>
        </w:rPr>
        <w:t>[C]</w:t>
        <w:tab/>
      </w:r>
      <w:r>
        <w:t>ISO/IEC 25010:2011, Systems and software Quality Requirements and Evaluation (SQuaRE).</w:t>
      </w:r>
    </w:p>
    <w:p>
      <w:pPr>
        <w:spacing w:after="140"/>
        <w:ind w:left="624"/>
      </w:pPr>
      <w:r>
        <w:rPr>
          <w:color w:val="555555"/>
          <w:sz w:val="18"/>
        </w:rPr>
        <w:t>—</w:t>
        <w:br/>
      </w:r>
      <w:r>
        <w:rPr>
          <w:b/>
          <w:sz w:val="19"/>
        </w:rPr>
        <w:t xml:space="preserve">Uso en Augur: </w:t>
      </w:r>
      <w:r>
        <w:rPr>
          <w:sz w:val="19"/>
        </w:rPr>
        <w:t>Criterios de calidad del dashboard.</w:t>
      </w:r>
    </w:p>
    <w:p>
      <w:pPr>
        <w:tabs>
          <w:tab w:pos="624" w:val="left"/>
        </w:tabs>
        <w:spacing w:after="20"/>
        <w:ind w:left="624" w:hanging="624"/>
      </w:pPr>
      <w:r>
        <w:rPr>
          <w:b/>
          <w:color w:val="B45309"/>
        </w:rPr>
        <w:t>[C]</w:t>
        <w:tab/>
      </w:r>
      <w:r>
        <w:t>ACIEM y COPNIA, Manual de Referencia de Tarifas en Ingeniería, 2015.</w:t>
      </w:r>
    </w:p>
    <w:p>
      <w:pPr>
        <w:spacing w:after="140"/>
        <w:ind w:left="624"/>
      </w:pPr>
      <w:r>
        <w:rPr>
          <w:color w:val="555555"/>
          <w:sz w:val="18"/>
        </w:rPr>
        <w:t>—</w:t>
        <w:br/>
      </w:r>
      <w:r>
        <w:rPr>
          <w:b/>
          <w:sz w:val="19"/>
        </w:rPr>
        <w:t xml:space="preserve">Uso en Augur: </w:t>
      </w:r>
      <w:r>
        <w:rPr>
          <w:sz w:val="19"/>
        </w:rPr>
        <w:t>Estimación del costo del proyecto.</w:t>
      </w:r>
    </w:p>
    <w:p>
      <w:pPr>
        <w:pStyle w:val="Heading1"/>
      </w:pPr>
      <w:r>
        <w:t>8. Datos: XM y otras fuentes</w:t>
      </w:r>
    </w:p>
    <w:p>
      <w:pPr>
        <w:tabs>
          <w:tab w:pos="624" w:val="left"/>
        </w:tabs>
        <w:spacing w:after="20"/>
        <w:ind w:left="624" w:hanging="624"/>
      </w:pPr>
      <w:r>
        <w:rPr>
          <w:b/>
          <w:color w:val="B45309"/>
        </w:rPr>
        <w:t>[C]</w:t>
        <w:tab/>
      </w:r>
      <w:r>
        <w:t>XM S.A. E.S.P., "API de datos del Sistema de Información del Mercado de Energía Mayorista" (servapibi.xm.com.co).</w:t>
      </w:r>
    </w:p>
    <w:p>
      <w:pPr>
        <w:spacing w:after="140"/>
        <w:ind w:left="624"/>
      </w:pPr>
      <w:r>
        <w:rPr>
          <w:color w:val="555555"/>
          <w:sz w:val="18"/>
        </w:rPr>
        <w:t>https://servapibi.xm.com.co · librería pydataxm: github.com/EquipoAnaliticaXM/API_XM</w:t>
        <w:br/>
      </w:r>
      <w:r>
        <w:rPr>
          <w:b/>
          <w:sz w:val="19"/>
        </w:rPr>
        <w:t xml:space="preserve">Uso en Augur: </w:t>
      </w:r>
      <w:r>
        <w:rPr>
          <w:sz w:val="19"/>
        </w:rPr>
        <w:t>Fuente principal. Métricas usadas: PrecBolsNaci (precio de bolsa), DemaReal y DemaCome (demanda), Gene por recurso y GeneIdea (generación), AporEner y AporEnerMediHist (aportes), VoluUtilDiarEner, PorcVoluUtilDiar y CapaUtilDiarEner (embalse), PrecOferDesp y MaxPrecOferNal (ofertas), PrecEscaMarg y PrecEsca (escasez), PrecTransBolsa, RestAliv, ImpoEner, ExpoEner, PerdidasEner; catálogos ListadoMetricas y ListadoRecursos.</w:t>
      </w:r>
    </w:p>
    <w:p>
      <w:pPr>
        <w:tabs>
          <w:tab w:pos="624" w:val="left"/>
        </w:tabs>
        <w:spacing w:after="20"/>
        <w:ind w:left="624" w:hanging="624"/>
      </w:pPr>
      <w:r>
        <w:rPr>
          <w:b/>
          <w:color w:val="B45309"/>
        </w:rPr>
        <w:t>[C]</w:t>
        <w:tab/>
      </w:r>
      <w:r>
        <w:t>XM S.A. E.S.P., "Informes de despacho: predespacho ideal y despacho programado," biblioteca pública del portal xm.com.co.</w:t>
      </w:r>
    </w:p>
    <w:p>
      <w:pPr>
        <w:spacing w:after="140"/>
        <w:ind w:left="624"/>
      </w:pPr>
      <w:r>
        <w:rPr>
          <w:color w:val="555555"/>
          <w:sz w:val="18"/>
        </w:rPr>
        <w:t>https://www.xm.com.co/generacion/informes-despacho · archivos iMAR/dMAR vía api-portalxm.xm.com.co/administracion-archivos</w:t>
        <w:br/>
      </w:r>
      <w:r>
        <w:rPr>
          <w:b/>
          <w:sz w:val="19"/>
        </w:rPr>
        <w:t xml:space="preserve">Uso en Augur: </w:t>
      </w:r>
      <w:r>
        <w:rPr>
          <w:sz w:val="19"/>
        </w:rPr>
        <w:t>Insumo central del modelo en producción: el predespacho ideal que XM publica el día anterior.</w:t>
      </w:r>
    </w:p>
    <w:p>
      <w:pPr>
        <w:tabs>
          <w:tab w:pos="624" w:val="left"/>
        </w:tabs>
        <w:spacing w:after="20"/>
        <w:ind w:left="624" w:hanging="624"/>
      </w:pPr>
      <w:r>
        <w:rPr>
          <w:b/>
          <w:color w:val="B45309"/>
        </w:rPr>
        <w:t>[L]</w:t>
        <w:tab/>
      </w:r>
      <w:r>
        <w:t>XM S.A. E.S.P., ofertas de precio (archivos OFEI).</w:t>
      </w:r>
    </w:p>
    <w:p>
      <w:pPr>
        <w:spacing w:after="140"/>
        <w:ind w:left="624"/>
      </w:pPr>
      <w:r>
        <w:rPr>
          <w:color w:val="555555"/>
          <w:sz w:val="18"/>
        </w:rPr>
        <w:t>Biblioteca del portal XM</w:t>
        <w:br/>
      </w:r>
      <w:r>
        <w:rPr>
          <w:b/>
          <w:sz w:val="19"/>
        </w:rPr>
        <w:t xml:space="preserve">Uso en Augur: </w:t>
      </w:r>
      <w:r>
        <w:rPr>
          <w:sz w:val="19"/>
        </w:rPr>
        <w:t>Probadas como variable: los precios no se publican a tiempo (sería fuga de información).</w:t>
      </w:r>
    </w:p>
    <w:p>
      <w:pPr>
        <w:tabs>
          <w:tab w:pos="624" w:val="left"/>
        </w:tabs>
        <w:spacing w:after="20"/>
        <w:ind w:left="624" w:hanging="624"/>
      </w:pPr>
      <w:r>
        <w:rPr>
          <w:b/>
          <w:color w:val="B45309"/>
        </w:rPr>
        <w:t>[L]</w:t>
        <w:tab/>
      </w:r>
      <w:r>
        <w:t>XM S.A. E.S.P., Sinergox: tablero del Precio de Bolsa Nacional.</w:t>
      </w:r>
    </w:p>
    <w:p>
      <w:pPr>
        <w:spacing w:after="140"/>
        <w:ind w:left="624"/>
      </w:pPr>
      <w:r>
        <w:rPr>
          <w:color w:val="555555"/>
          <w:sz w:val="18"/>
        </w:rPr>
        <w:t>https://sinergox.xm.com.co</w:t>
        <w:br/>
      </w:r>
      <w:r>
        <w:rPr>
          <w:b/>
          <w:sz w:val="19"/>
        </w:rPr>
        <w:t xml:space="preserve">Uso en Augur: </w:t>
      </w:r>
      <w:r>
        <w:rPr>
          <w:sz w:val="19"/>
        </w:rPr>
        <w:t>Escala de color del mapa de calor por precio esperado.</w:t>
      </w:r>
    </w:p>
    <w:p>
      <w:pPr>
        <w:tabs>
          <w:tab w:pos="624" w:val="left"/>
        </w:tabs>
        <w:spacing w:after="20"/>
        <w:ind w:left="624" w:hanging="624"/>
      </w:pPr>
      <w:r>
        <w:rPr>
          <w:b/>
          <w:color w:val="B45309"/>
        </w:rPr>
        <w:t>[L]</w:t>
        <w:tab/>
      </w:r>
      <w:r>
        <w:t>XM S.A. E.S.P., "Resolución CREG 101 127 de 2026 — condición del sistema".</w:t>
      </w:r>
    </w:p>
    <w:p>
      <w:pPr>
        <w:spacing w:after="140"/>
        <w:ind w:left="624"/>
      </w:pPr>
      <w:r>
        <w:rPr>
          <w:color w:val="555555"/>
          <w:sz w:val="18"/>
        </w:rPr>
        <w:t>https://www.xm.com.co/resoluciones/operacion-y-mercado/resolucion-creg-101-127-de-2026-condicion-del-sistema</w:t>
        <w:br/>
      </w:r>
      <w:r>
        <w:rPr>
          <w:b/>
          <w:sz w:val="19"/>
        </w:rPr>
        <w:t xml:space="preserve">Uso en Augur: </w:t>
      </w:r>
      <w:r>
        <w:rPr>
          <w:sz w:val="19"/>
        </w:rPr>
        <w:t>Seguimiento de la activación de las medidas de El Niño.</w:t>
      </w:r>
    </w:p>
    <w:p>
      <w:pPr>
        <w:tabs>
          <w:tab w:pos="624" w:val="left"/>
        </w:tabs>
        <w:spacing w:after="20"/>
        <w:ind w:left="624" w:hanging="624"/>
      </w:pPr>
      <w:r>
        <w:rPr>
          <w:b/>
          <w:color w:val="B45309"/>
        </w:rPr>
        <w:t>[C]</w:t>
        <w:tab/>
      </w:r>
      <w:r>
        <w:t>NOAA Climate Prediction Center, "Cold &amp; Warm Episodes by Season — Oceanic Niño Index (ONI)".</w:t>
      </w:r>
    </w:p>
    <w:p>
      <w:pPr>
        <w:spacing w:after="140"/>
        <w:ind w:left="624"/>
      </w:pPr>
      <w:r>
        <w:rPr>
          <w:color w:val="555555"/>
          <w:sz w:val="18"/>
        </w:rPr>
        <w:t>https://www.cpc.ncep.noaa.gov/data/indices/oni.ascii.txt</w:t>
        <w:br/>
      </w:r>
      <w:r>
        <w:rPr>
          <w:b/>
          <w:sz w:val="19"/>
        </w:rPr>
        <w:t xml:space="preserve">Uso en Augur: </w:t>
      </w:r>
      <w:r>
        <w:rPr>
          <w:sz w:val="19"/>
        </w:rPr>
        <w:t>Índice ONI (El Niño / La Niña) como variable y para definir los orígenes del walk-forward.</w:t>
      </w:r>
    </w:p>
    <w:p>
      <w:pPr>
        <w:tabs>
          <w:tab w:pos="624" w:val="left"/>
        </w:tabs>
        <w:spacing w:after="20"/>
        <w:ind w:left="624" w:hanging="624"/>
      </w:pPr>
      <w:r>
        <w:rPr>
          <w:b/>
          <w:color w:val="B45309"/>
        </w:rPr>
        <w:t>[L]</w:t>
        <w:tab/>
      </w:r>
      <w:r>
        <w:t>Paquete holidays (Python): festivos de Colombia.</w:t>
      </w:r>
    </w:p>
    <w:p>
      <w:pPr>
        <w:spacing w:after="140"/>
        <w:ind w:left="624"/>
      </w:pPr>
      <w:r>
        <w:rPr>
          <w:color w:val="555555"/>
          <w:sz w:val="18"/>
        </w:rPr>
        <w:t>https://github.com/vacanza/holidays</w:t>
        <w:br/>
      </w:r>
      <w:r>
        <w:rPr>
          <w:b/>
          <w:sz w:val="19"/>
        </w:rPr>
        <w:t xml:space="preserve">Uso en Augur: </w:t>
      </w:r>
      <w:r>
        <w:rPr>
          <w:sz w:val="19"/>
        </w:rPr>
        <w:t>Variable de calendario (festivos).</w:t>
      </w:r>
    </w:p>
    <w:p>
      <w:pPr>
        <w:pStyle w:val="Heading1"/>
      </w:pPr>
      <w:r>
        <w:t>9. Librerías de código abierto</w:t>
      </w:r>
    </w:p>
    <w:p>
      <w:r>
        <w:t>Versiones fijadas en requirements.txt (modelado), requirements-produccion.txt (actualización diaria) y dashboard/requirements.txt (app). Para el paper basta citar las que hacen el trabajo central: pandas, NumPy, SciPy, scikit-learn, statsmodels, CatBoost y Streamlit.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shd w:val="clear" w:color="auto" w:fill="F3EBDB"/>
          </w:tcPr>
          <w:p>
            <w:r/>
            <w:r>
              <w:rPr>
                <w:b/>
                <w:sz w:val="18"/>
              </w:rPr>
              <w:t>Librería</w:t>
            </w:r>
          </w:p>
        </w:tc>
        <w:tc>
          <w:tcPr>
            <w:tcW w:type="dxa" w:w="1134"/>
            <w:shd w:val="clear" w:color="auto" w:fill="F3EBDB"/>
          </w:tcPr>
          <w:p>
            <w:r/>
            <w:r>
              <w:rPr>
                <w:b/>
                <w:sz w:val="18"/>
              </w:rPr>
              <w:t>Versión</w:t>
            </w:r>
          </w:p>
        </w:tc>
        <w:tc>
          <w:tcPr>
            <w:tcW w:type="dxa" w:w="2608"/>
            <w:shd w:val="clear" w:color="auto" w:fill="F3EBDB"/>
          </w:tcPr>
          <w:p>
            <w:r/>
            <w:r>
              <w:rPr>
                <w:b/>
                <w:sz w:val="18"/>
              </w:rPr>
              <w:t>Para qué en Augur</w:t>
            </w:r>
          </w:p>
        </w:tc>
        <w:tc>
          <w:tcPr>
            <w:tcW w:type="dxa" w:w="3175"/>
            <w:shd w:val="clear" w:color="auto" w:fill="F3EBDB"/>
          </w:tcPr>
          <w:p>
            <w:r/>
            <w:r>
              <w:rPr>
                <w:b/>
                <w:sz w:val="18"/>
              </w:rPr>
              <w:t>Cita sugerida</w:t>
            </w:r>
          </w:p>
        </w:tc>
        <w:tc>
          <w:tcPr>
            <w:tcW w:type="dxa" w:w="1134"/>
            <w:shd w:val="clear" w:color="auto" w:fill="F3EBDB"/>
          </w:tcPr>
          <w:p>
            <w:r/>
            <w:r>
              <w:rPr>
                <w:b/>
                <w:sz w:val="18"/>
              </w:rPr>
              <w:t>Licencia</w:t>
            </w:r>
          </w:p>
        </w:tc>
      </w:tr>
      <w:tr>
        <w:tc>
          <w:tcPr>
            <w:tcW w:type="dxa" w:w="1701"/>
          </w:tcPr>
          <w:p>
            <w:r/>
            <w:r>
              <w:rPr>
                <w:b/>
                <w:sz w:val="17"/>
              </w:rPr>
              <w:t>pandas</w:t>
            </w:r>
          </w:p>
        </w:tc>
        <w:tc>
          <w:tcPr>
            <w:tcW w:type="dxa" w:w="1134"/>
          </w:tcPr>
          <w:p>
            <w:r/>
            <w:r>
              <w:rPr>
                <w:b w:val="0"/>
                <w:sz w:val="17"/>
              </w:rPr>
              <w:t>2.3.3</w:t>
            </w:r>
          </w:p>
        </w:tc>
        <w:tc>
          <w:tcPr>
            <w:tcW w:type="dxa" w:w="2608"/>
          </w:tcPr>
          <w:p>
            <w:r/>
            <w:r>
              <w:rPr>
                <w:b w:val="0"/>
                <w:sz w:val="17"/>
              </w:rPr>
              <w:t>Manejo de todas las series y tablas</w:t>
            </w:r>
          </w:p>
        </w:tc>
        <w:tc>
          <w:tcPr>
            <w:tcW w:type="dxa" w:w="3175"/>
          </w:tcPr>
          <w:p>
            <w:r/>
            <w:r>
              <w:rPr>
                <w:b w:val="0"/>
                <w:sz w:val="17"/>
              </w:rPr>
              <w:t>W. McKinney, "Data structures for statistical computing in Python," Proc. 9th Python in Science Conf., 2010.</w:t>
            </w:r>
          </w:p>
        </w:tc>
        <w:tc>
          <w:tcPr>
            <w:tcW w:type="dxa" w:w="1134"/>
          </w:tcPr>
          <w:p>
            <w:r/>
            <w:r>
              <w:rPr>
                <w:b w:val="0"/>
                <w:sz w:val="17"/>
              </w:rPr>
              <w:t>BSD-3</w:t>
            </w:r>
          </w:p>
        </w:tc>
      </w:tr>
      <w:tr>
        <w:tc>
          <w:tcPr>
            <w:tcW w:type="dxa" w:w="1701"/>
          </w:tcPr>
          <w:p>
            <w:r/>
            <w:r>
              <w:rPr>
                <w:b/>
                <w:sz w:val="17"/>
              </w:rPr>
              <w:t>NumPy</w:t>
            </w:r>
          </w:p>
        </w:tc>
        <w:tc>
          <w:tcPr>
            <w:tcW w:type="dxa" w:w="1134"/>
          </w:tcPr>
          <w:p>
            <w:r/>
            <w:r>
              <w:rPr>
                <w:b w:val="0"/>
                <w:sz w:val="17"/>
              </w:rPr>
              <w:t>2.4.4</w:t>
            </w:r>
          </w:p>
        </w:tc>
        <w:tc>
          <w:tcPr>
            <w:tcW w:type="dxa" w:w="2608"/>
          </w:tcPr>
          <w:p>
            <w:r/>
            <w:r>
              <w:rPr>
                <w:b w:val="0"/>
                <w:sz w:val="17"/>
              </w:rPr>
              <w:t>Cálculo numérico</w:t>
            </w:r>
          </w:p>
        </w:tc>
        <w:tc>
          <w:tcPr>
            <w:tcW w:type="dxa" w:w="3175"/>
          </w:tcPr>
          <w:p>
            <w:r/>
            <w:r>
              <w:rPr>
                <w:b w:val="0"/>
                <w:sz w:val="17"/>
              </w:rPr>
              <w:t>C. R. Harris et al., "Array programming with NumPy," Nature, vol. 585, pp. 357–362, 2020.</w:t>
            </w:r>
          </w:p>
        </w:tc>
        <w:tc>
          <w:tcPr>
            <w:tcW w:type="dxa" w:w="1134"/>
          </w:tcPr>
          <w:p>
            <w:r/>
            <w:r>
              <w:rPr>
                <w:b w:val="0"/>
                <w:sz w:val="17"/>
              </w:rPr>
              <w:t>BSD-3</w:t>
            </w:r>
          </w:p>
        </w:tc>
      </w:tr>
      <w:tr>
        <w:tc>
          <w:tcPr>
            <w:tcW w:type="dxa" w:w="1701"/>
          </w:tcPr>
          <w:p>
            <w:r/>
            <w:r>
              <w:rPr>
                <w:b/>
                <w:sz w:val="17"/>
              </w:rPr>
              <w:t>SciPy</w:t>
            </w:r>
          </w:p>
        </w:tc>
        <w:tc>
          <w:tcPr>
            <w:tcW w:type="dxa" w:w="1134"/>
          </w:tcPr>
          <w:p>
            <w:r/>
            <w:r>
              <w:rPr>
                <w:b w:val="0"/>
                <w:sz w:val="17"/>
              </w:rPr>
              <w:t>1.18.0</w:t>
            </w:r>
          </w:p>
        </w:tc>
        <w:tc>
          <w:tcPr>
            <w:tcW w:type="dxa" w:w="2608"/>
          </w:tcPr>
          <w:p>
            <w:r/>
            <w:r>
              <w:rPr>
                <w:b w:val="0"/>
                <w:sz w:val="17"/>
              </w:rPr>
              <w:t>Filtros (Savitzky-Golay, Butterworth), estadística, pruebas</w:t>
            </w:r>
          </w:p>
        </w:tc>
        <w:tc>
          <w:tcPr>
            <w:tcW w:type="dxa" w:w="3175"/>
          </w:tcPr>
          <w:p>
            <w:r/>
            <w:r>
              <w:rPr>
                <w:b w:val="0"/>
                <w:sz w:val="17"/>
              </w:rPr>
              <w:t>P. Virtanen et al., "SciPy 1.0," Nat. Methods, vol. 17, pp. 261–272, 2020.</w:t>
            </w:r>
          </w:p>
        </w:tc>
        <w:tc>
          <w:tcPr>
            <w:tcW w:type="dxa" w:w="1134"/>
          </w:tcPr>
          <w:p>
            <w:r/>
            <w:r>
              <w:rPr>
                <w:b w:val="0"/>
                <w:sz w:val="17"/>
              </w:rPr>
              <w:t>BSD-3</w:t>
            </w:r>
          </w:p>
        </w:tc>
      </w:tr>
      <w:tr>
        <w:tc>
          <w:tcPr>
            <w:tcW w:type="dxa" w:w="1701"/>
          </w:tcPr>
          <w:p>
            <w:r/>
            <w:r>
              <w:rPr>
                <w:b/>
                <w:sz w:val="17"/>
              </w:rPr>
              <w:t>scikit-learn</w:t>
            </w:r>
          </w:p>
        </w:tc>
        <w:tc>
          <w:tcPr>
            <w:tcW w:type="dxa" w:w="1134"/>
          </w:tcPr>
          <w:p>
            <w:r/>
            <w:r>
              <w:rPr>
                <w:b w:val="0"/>
                <w:sz w:val="17"/>
              </w:rPr>
              <w:t>1.9.0</w:t>
            </w:r>
          </w:p>
        </w:tc>
        <w:tc>
          <w:tcPr>
            <w:tcW w:type="dxa" w:w="2608"/>
          </w:tcPr>
          <w:p>
            <w:r/>
            <w:r>
              <w:rPr>
                <w:b w:val="0"/>
                <w:sz w:val="17"/>
              </w:rPr>
              <w:t>Lasso, Random Forest, HistGradientBoosting (detector 72 h), validación</w:t>
            </w:r>
          </w:p>
        </w:tc>
        <w:tc>
          <w:tcPr>
            <w:tcW w:type="dxa" w:w="3175"/>
          </w:tcPr>
          <w:p>
            <w:r/>
            <w:r>
              <w:rPr>
                <w:b w:val="0"/>
                <w:sz w:val="17"/>
              </w:rPr>
              <w:t>F. Pedregosa et al., "Scikit-learn: Machine learning in Python," JMLR, vol. 12, pp. 2825–2830, 2011.</w:t>
            </w:r>
          </w:p>
        </w:tc>
        <w:tc>
          <w:tcPr>
            <w:tcW w:type="dxa" w:w="1134"/>
          </w:tcPr>
          <w:p>
            <w:r/>
            <w:r>
              <w:rPr>
                <w:b w:val="0"/>
                <w:sz w:val="17"/>
              </w:rPr>
              <w:t>BSD-3</w:t>
            </w:r>
          </w:p>
        </w:tc>
      </w:tr>
      <w:tr>
        <w:tc>
          <w:tcPr>
            <w:tcW w:type="dxa" w:w="1701"/>
          </w:tcPr>
          <w:p>
            <w:r/>
            <w:r>
              <w:rPr>
                <w:b/>
                <w:sz w:val="17"/>
              </w:rPr>
              <w:t>statsmodels</w:t>
            </w:r>
          </w:p>
        </w:tc>
        <w:tc>
          <w:tcPr>
            <w:tcW w:type="dxa" w:w="1134"/>
          </w:tcPr>
          <w:p>
            <w:r/>
            <w:r>
              <w:rPr>
                <w:b w:val="0"/>
                <w:sz w:val="17"/>
              </w:rPr>
              <w:t>0.15.0</w:t>
            </w:r>
          </w:p>
        </w:tc>
        <w:tc>
          <w:tcPr>
            <w:tcW w:type="dxa" w:w="2608"/>
          </w:tcPr>
          <w:p>
            <w:r/>
            <w:r>
              <w:rPr>
                <w:b w:val="0"/>
                <w:sz w:val="17"/>
              </w:rPr>
              <w:t>Regresión cuantílica (QRA), ARIMA, Granger, pruebas</w:t>
            </w:r>
          </w:p>
        </w:tc>
        <w:tc>
          <w:tcPr>
            <w:tcW w:type="dxa" w:w="3175"/>
          </w:tcPr>
          <w:p>
            <w:r/>
            <w:r>
              <w:rPr>
                <w:b w:val="0"/>
                <w:sz w:val="17"/>
              </w:rPr>
              <w:t>S. Seabold y J. Perktold, "Statsmodels: Econometric and statistical modeling with Python," Proc. 9th Python in Science Conf., 2010.</w:t>
            </w:r>
          </w:p>
        </w:tc>
        <w:tc>
          <w:tcPr>
            <w:tcW w:type="dxa" w:w="1134"/>
          </w:tcPr>
          <w:p>
            <w:r/>
            <w:r>
              <w:rPr>
                <w:b w:val="0"/>
                <w:sz w:val="17"/>
              </w:rPr>
              <w:t>BSD-3</w:t>
            </w:r>
          </w:p>
        </w:tc>
      </w:tr>
      <w:tr>
        <w:tc>
          <w:tcPr>
            <w:tcW w:type="dxa" w:w="1701"/>
          </w:tcPr>
          <w:p>
            <w:r/>
            <w:r>
              <w:rPr>
                <w:b/>
                <w:sz w:val="17"/>
              </w:rPr>
              <w:t>CatBoost</w:t>
            </w:r>
          </w:p>
        </w:tc>
        <w:tc>
          <w:tcPr>
            <w:tcW w:type="dxa" w:w="1134"/>
          </w:tcPr>
          <w:p>
            <w:r/>
            <w:r>
              <w:rPr>
                <w:b w:val="0"/>
                <w:sz w:val="17"/>
              </w:rPr>
              <w:t>1.2.10</w:t>
            </w:r>
          </w:p>
        </w:tc>
        <w:tc>
          <w:tcPr>
            <w:tcW w:type="dxa" w:w="2608"/>
          </w:tcPr>
          <w:p>
            <w:r/>
            <w:r>
              <w:rPr>
                <w:b w:val="0"/>
                <w:sz w:val="17"/>
              </w:rPr>
              <w:t>Modelos de corrección del predespacho en producción</w:t>
            </w:r>
          </w:p>
        </w:tc>
        <w:tc>
          <w:tcPr>
            <w:tcW w:type="dxa" w:w="3175"/>
          </w:tcPr>
          <w:p>
            <w:r/>
            <w:r>
              <w:rPr>
                <w:b w:val="0"/>
                <w:sz w:val="17"/>
              </w:rPr>
              <w:t>Prokhorenkova et al. (2018), sección 1</w:t>
            </w:r>
          </w:p>
        </w:tc>
        <w:tc>
          <w:tcPr>
            <w:tcW w:type="dxa" w:w="1134"/>
          </w:tcPr>
          <w:p>
            <w:r/>
            <w:r>
              <w:rPr>
                <w:b w:val="0"/>
                <w:sz w:val="17"/>
              </w:rPr>
              <w:t>Apache 2.0</w:t>
            </w:r>
          </w:p>
        </w:tc>
      </w:tr>
      <w:tr>
        <w:tc>
          <w:tcPr>
            <w:tcW w:type="dxa" w:w="1701"/>
          </w:tcPr>
          <w:p>
            <w:r/>
            <w:r>
              <w:rPr>
                <w:b/>
                <w:sz w:val="17"/>
              </w:rPr>
              <w:t>LightGBM</w:t>
            </w:r>
          </w:p>
        </w:tc>
        <w:tc>
          <w:tcPr>
            <w:tcW w:type="dxa" w:w="1134"/>
          </w:tcPr>
          <w:p>
            <w:r/>
            <w:r>
              <w:rPr>
                <w:b w:val="0"/>
                <w:sz w:val="17"/>
              </w:rPr>
              <w:t>4.7.0</w:t>
            </w:r>
          </w:p>
        </w:tc>
        <w:tc>
          <w:tcPr>
            <w:tcW w:type="dxa" w:w="2608"/>
          </w:tcPr>
          <w:p>
            <w:r/>
            <w:r>
              <w:rPr>
                <w:b w:val="0"/>
                <w:sz w:val="17"/>
              </w:rPr>
              <w:t>Benchmark (notebook 11 y escenario realista)</w:t>
            </w:r>
          </w:p>
        </w:tc>
        <w:tc>
          <w:tcPr>
            <w:tcW w:type="dxa" w:w="3175"/>
          </w:tcPr>
          <w:p>
            <w:r/>
            <w:r>
              <w:rPr>
                <w:b w:val="0"/>
                <w:sz w:val="17"/>
              </w:rPr>
              <w:t>Ke et al. (2017), sección 1</w:t>
            </w:r>
          </w:p>
        </w:tc>
        <w:tc>
          <w:tcPr>
            <w:tcW w:type="dxa" w:w="1134"/>
          </w:tcPr>
          <w:p>
            <w:r/>
            <w:r>
              <w:rPr>
                <w:b w:val="0"/>
                <w:sz w:val="17"/>
              </w:rPr>
              <w:t>MIT</w:t>
            </w:r>
          </w:p>
        </w:tc>
      </w:tr>
      <w:tr>
        <w:tc>
          <w:tcPr>
            <w:tcW w:type="dxa" w:w="1701"/>
          </w:tcPr>
          <w:p>
            <w:r/>
            <w:r>
              <w:rPr>
                <w:b/>
                <w:sz w:val="17"/>
              </w:rPr>
              <w:t>XGBoost</w:t>
            </w:r>
          </w:p>
        </w:tc>
        <w:tc>
          <w:tcPr>
            <w:tcW w:type="dxa" w:w="1134"/>
          </w:tcPr>
          <w:p>
            <w:r/>
            <w:r>
              <w:rPr>
                <w:b w:val="0"/>
                <w:sz w:val="17"/>
              </w:rPr>
              <w:t>2.1.4</w:t>
            </w:r>
          </w:p>
        </w:tc>
        <w:tc>
          <w:tcPr>
            <w:tcW w:type="dxa" w:w="2608"/>
          </w:tcPr>
          <w:p>
            <w:r/>
            <w:r>
              <w:rPr>
                <w:b w:val="0"/>
                <w:sz w:val="17"/>
              </w:rPr>
              <w:t>Modelo de la primera etapa y benchmark</w:t>
            </w:r>
          </w:p>
        </w:tc>
        <w:tc>
          <w:tcPr>
            <w:tcW w:type="dxa" w:w="3175"/>
          </w:tcPr>
          <w:p>
            <w:r/>
            <w:r>
              <w:rPr>
                <w:b w:val="0"/>
                <w:sz w:val="17"/>
              </w:rPr>
              <w:t>Chen y Guestrin (2016), sección 1</w:t>
            </w:r>
          </w:p>
        </w:tc>
        <w:tc>
          <w:tcPr>
            <w:tcW w:type="dxa" w:w="1134"/>
          </w:tcPr>
          <w:p>
            <w:r/>
            <w:r>
              <w:rPr>
                <w:b w:val="0"/>
                <w:sz w:val="17"/>
              </w:rPr>
              <w:t>Apache 2.0</w:t>
            </w:r>
          </w:p>
        </w:tc>
      </w:tr>
      <w:tr>
        <w:tc>
          <w:tcPr>
            <w:tcW w:type="dxa" w:w="1701"/>
          </w:tcPr>
          <w:p>
            <w:r/>
            <w:r>
              <w:rPr>
                <w:b/>
                <w:sz w:val="17"/>
              </w:rPr>
              <w:t>arch</w:t>
            </w:r>
          </w:p>
        </w:tc>
        <w:tc>
          <w:tcPr>
            <w:tcW w:type="dxa" w:w="1134"/>
          </w:tcPr>
          <w:p>
            <w:r/>
            <w:r>
              <w:rPr>
                <w:b w:val="0"/>
                <w:sz w:val="17"/>
              </w:rPr>
              <w:t>8.0.0</w:t>
            </w:r>
          </w:p>
        </w:tc>
        <w:tc>
          <w:tcPr>
            <w:tcW w:type="dxa" w:w="2608"/>
          </w:tcPr>
          <w:p>
            <w:r/>
            <w:r>
              <w:rPr>
                <w:b w:val="0"/>
                <w:sz w:val="17"/>
              </w:rPr>
              <w:t>ARX+GARCH y GARCH-GED</w:t>
            </w:r>
          </w:p>
        </w:tc>
        <w:tc>
          <w:tcPr>
            <w:tcW w:type="dxa" w:w="3175"/>
          </w:tcPr>
          <w:p>
            <w:r/>
            <w:r>
              <w:rPr>
                <w:b w:val="0"/>
                <w:sz w:val="17"/>
              </w:rPr>
              <w:t>K. Sheppard et al., arch: ARCH models in Python (software), github.com/bashtage/arch.</w:t>
            </w:r>
          </w:p>
        </w:tc>
        <w:tc>
          <w:tcPr>
            <w:tcW w:type="dxa" w:w="1134"/>
          </w:tcPr>
          <w:p>
            <w:r/>
            <w:r>
              <w:rPr>
                <w:b w:val="0"/>
                <w:sz w:val="17"/>
              </w:rPr>
              <w:t>NCSA</w:t>
            </w:r>
          </w:p>
        </w:tc>
      </w:tr>
      <w:tr>
        <w:tc>
          <w:tcPr>
            <w:tcW w:type="dxa" w:w="1701"/>
          </w:tcPr>
          <w:p>
            <w:r/>
            <w:r>
              <w:rPr>
                <w:b/>
                <w:sz w:val="17"/>
              </w:rPr>
              <w:t>neuralforecast</w:t>
            </w:r>
          </w:p>
        </w:tc>
        <w:tc>
          <w:tcPr>
            <w:tcW w:type="dxa" w:w="1134"/>
          </w:tcPr>
          <w:p>
            <w:r/>
            <w:r>
              <w:rPr>
                <w:b w:val="0"/>
                <w:sz w:val="17"/>
              </w:rPr>
              <w:t>3.2.1</w:t>
            </w:r>
          </w:p>
        </w:tc>
        <w:tc>
          <w:tcPr>
            <w:tcW w:type="dxa" w:w="2608"/>
          </w:tcPr>
          <w:p>
            <w:r/>
            <w:r>
              <w:rPr>
                <w:b w:val="0"/>
                <w:sz w:val="17"/>
              </w:rPr>
              <w:t>N-BEATSx y N-HiTS</w:t>
            </w:r>
          </w:p>
        </w:tc>
        <w:tc>
          <w:tcPr>
            <w:tcW w:type="dxa" w:w="3175"/>
          </w:tcPr>
          <w:p>
            <w:r/>
            <w:r>
              <w:rPr>
                <w:b w:val="0"/>
                <w:sz w:val="17"/>
              </w:rPr>
              <w:t>K. G. Olivares, C. Challu, F. Garza y M. Mergenthaler, NeuralForecast (software), Nixtla, 2022.</w:t>
            </w:r>
          </w:p>
        </w:tc>
        <w:tc>
          <w:tcPr>
            <w:tcW w:type="dxa" w:w="1134"/>
          </w:tcPr>
          <w:p>
            <w:r/>
            <w:r>
              <w:rPr>
                <w:b w:val="0"/>
                <w:sz w:val="17"/>
              </w:rPr>
              <w:t>Apache 2.0</w:t>
            </w:r>
          </w:p>
        </w:tc>
      </w:tr>
      <w:tr>
        <w:tc>
          <w:tcPr>
            <w:tcW w:type="dxa" w:w="1701"/>
          </w:tcPr>
          <w:p>
            <w:r/>
            <w:r>
              <w:rPr>
                <w:b/>
                <w:sz w:val="17"/>
              </w:rPr>
              <w:t>PyTorch / Lightning</w:t>
            </w:r>
          </w:p>
        </w:tc>
        <w:tc>
          <w:tcPr>
            <w:tcW w:type="dxa" w:w="1134"/>
          </w:tcPr>
          <w:p>
            <w:r/>
            <w:r>
              <w:rPr>
                <w:b w:val="0"/>
                <w:sz w:val="17"/>
              </w:rPr>
              <w:t>2.14.0 / 2.5.6</w:t>
            </w:r>
          </w:p>
        </w:tc>
        <w:tc>
          <w:tcPr>
            <w:tcW w:type="dxa" w:w="2608"/>
          </w:tcPr>
          <w:p>
            <w:r/>
            <w:r>
              <w:rPr>
                <w:b w:val="0"/>
                <w:sz w:val="17"/>
              </w:rPr>
              <w:t>Motor de las redes de neuralforecast</w:t>
            </w:r>
          </w:p>
        </w:tc>
        <w:tc>
          <w:tcPr>
            <w:tcW w:type="dxa" w:w="3175"/>
          </w:tcPr>
          <w:p>
            <w:r/>
            <w:r>
              <w:rPr>
                <w:b w:val="0"/>
                <w:sz w:val="17"/>
              </w:rPr>
              <w:t>A. Paszke et al., "PyTorch: An imperative style, high-performance deep learning library," NeurIPS, 2019.</w:t>
            </w:r>
          </w:p>
        </w:tc>
        <w:tc>
          <w:tcPr>
            <w:tcW w:type="dxa" w:w="1134"/>
          </w:tcPr>
          <w:p>
            <w:r/>
            <w:r>
              <w:rPr>
                <w:b w:val="0"/>
                <w:sz w:val="17"/>
              </w:rPr>
              <w:t>BSD-3 / Apache 2.0</w:t>
            </w:r>
          </w:p>
        </w:tc>
      </w:tr>
      <w:tr>
        <w:tc>
          <w:tcPr>
            <w:tcW w:type="dxa" w:w="1701"/>
          </w:tcPr>
          <w:p>
            <w:r/>
            <w:r>
              <w:rPr>
                <w:b/>
                <w:sz w:val="17"/>
              </w:rPr>
              <w:t>Prophet (+ CmdStan)</w:t>
            </w:r>
          </w:p>
        </w:tc>
        <w:tc>
          <w:tcPr>
            <w:tcW w:type="dxa" w:w="1134"/>
          </w:tcPr>
          <w:p>
            <w:r/>
            <w:r>
              <w:rPr>
                <w:b w:val="0"/>
                <w:sz w:val="17"/>
              </w:rPr>
              <w:t>1.3.0</w:t>
            </w:r>
          </w:p>
        </w:tc>
        <w:tc>
          <w:tcPr>
            <w:tcW w:type="dxa" w:w="2608"/>
          </w:tcPr>
          <w:p>
            <w:r/>
            <w:r>
              <w:rPr>
                <w:b w:val="0"/>
                <w:sz w:val="17"/>
              </w:rPr>
              <w:t>Modelo Prophet (descartado)</w:t>
            </w:r>
          </w:p>
        </w:tc>
        <w:tc>
          <w:tcPr>
            <w:tcW w:type="dxa" w:w="3175"/>
          </w:tcPr>
          <w:p>
            <w:r/>
            <w:r>
              <w:rPr>
                <w:b w:val="0"/>
                <w:sz w:val="17"/>
              </w:rPr>
              <w:t>Taylor y Letham (2018), sección 1</w:t>
            </w:r>
          </w:p>
        </w:tc>
        <w:tc>
          <w:tcPr>
            <w:tcW w:type="dxa" w:w="1134"/>
          </w:tcPr>
          <w:p>
            <w:r/>
            <w:r>
              <w:rPr>
                <w:b w:val="0"/>
                <w:sz w:val="17"/>
              </w:rPr>
              <w:t>MIT</w:t>
            </w:r>
          </w:p>
        </w:tc>
      </w:tr>
      <w:tr>
        <w:tc>
          <w:tcPr>
            <w:tcW w:type="dxa" w:w="1701"/>
          </w:tcPr>
          <w:p>
            <w:r/>
            <w:r>
              <w:rPr>
                <w:b/>
                <w:sz w:val="17"/>
              </w:rPr>
              <w:t>SHAP</w:t>
            </w:r>
          </w:p>
        </w:tc>
        <w:tc>
          <w:tcPr>
            <w:tcW w:type="dxa" w:w="1134"/>
          </w:tcPr>
          <w:p>
            <w:r/>
            <w:r>
              <w:rPr>
                <w:b w:val="0"/>
                <w:sz w:val="17"/>
              </w:rPr>
              <w:t>0.52.0</w:t>
            </w:r>
          </w:p>
        </w:tc>
        <w:tc>
          <w:tcPr>
            <w:tcW w:type="dxa" w:w="2608"/>
          </w:tcPr>
          <w:p>
            <w:r/>
            <w:r>
              <w:rPr>
                <w:b w:val="0"/>
                <w:sz w:val="17"/>
              </w:rPr>
              <w:t>Explicabilidad de XGBoost</w:t>
            </w:r>
          </w:p>
        </w:tc>
        <w:tc>
          <w:tcPr>
            <w:tcW w:type="dxa" w:w="3175"/>
          </w:tcPr>
          <w:p>
            <w:r/>
            <w:r>
              <w:rPr>
                <w:b w:val="0"/>
                <w:sz w:val="17"/>
              </w:rPr>
              <w:t>Lundberg y Lee (2017), sección 2</w:t>
            </w:r>
          </w:p>
        </w:tc>
        <w:tc>
          <w:tcPr>
            <w:tcW w:type="dxa" w:w="1134"/>
          </w:tcPr>
          <w:p>
            <w:r/>
            <w:r>
              <w:rPr>
                <w:b w:val="0"/>
                <w:sz w:val="17"/>
              </w:rPr>
              <w:t>MIT</w:t>
            </w:r>
          </w:p>
        </w:tc>
      </w:tr>
      <w:tr>
        <w:tc>
          <w:tcPr>
            <w:tcW w:type="dxa" w:w="1701"/>
          </w:tcPr>
          <w:p>
            <w:r/>
            <w:r>
              <w:rPr>
                <w:b/>
                <w:sz w:val="17"/>
              </w:rPr>
              <w:t>Optuna</w:t>
            </w:r>
          </w:p>
        </w:tc>
        <w:tc>
          <w:tcPr>
            <w:tcW w:type="dxa" w:w="1134"/>
          </w:tcPr>
          <w:p>
            <w:r/>
            <w:r>
              <w:rPr>
                <w:b w:val="0"/>
                <w:sz w:val="17"/>
              </w:rPr>
              <w:t>4.9.0</w:t>
            </w:r>
          </w:p>
        </w:tc>
        <w:tc>
          <w:tcPr>
            <w:tcW w:type="dxa" w:w="2608"/>
          </w:tcPr>
          <w:p>
            <w:r/>
            <w:r>
              <w:rPr>
                <w:b w:val="0"/>
                <w:sz w:val="17"/>
              </w:rPr>
              <w:t>Búsqueda de hiperparámetros (armónicos XGBoost/CatBoost)</w:t>
            </w:r>
          </w:p>
        </w:tc>
        <w:tc>
          <w:tcPr>
            <w:tcW w:type="dxa" w:w="3175"/>
          </w:tcPr>
          <w:p>
            <w:r/>
            <w:r>
              <w:rPr>
                <w:b w:val="0"/>
                <w:sz w:val="17"/>
              </w:rPr>
              <w:t>T. Akiba et al., "Optuna: A next-generation hyperparameter optimization framework," KDD, 2019.</w:t>
            </w:r>
          </w:p>
        </w:tc>
        <w:tc>
          <w:tcPr>
            <w:tcW w:type="dxa" w:w="1134"/>
          </w:tcPr>
          <w:p>
            <w:r/>
            <w:r>
              <w:rPr>
                <w:b w:val="0"/>
                <w:sz w:val="17"/>
              </w:rPr>
              <w:t>MIT</w:t>
            </w:r>
          </w:p>
        </w:tc>
      </w:tr>
      <w:tr>
        <w:tc>
          <w:tcPr>
            <w:tcW w:type="dxa" w:w="1701"/>
          </w:tcPr>
          <w:p>
            <w:r/>
            <w:r>
              <w:rPr>
                <w:b/>
                <w:sz w:val="17"/>
              </w:rPr>
              <w:t>PyWavelets</w:t>
            </w:r>
          </w:p>
        </w:tc>
        <w:tc>
          <w:tcPr>
            <w:tcW w:type="dxa" w:w="1134"/>
          </w:tcPr>
          <w:p>
            <w:r/>
            <w:r>
              <w:rPr>
                <w:b w:val="0"/>
                <w:sz w:val="17"/>
              </w:rPr>
              <w:t>1.8.0</w:t>
            </w:r>
          </w:p>
        </w:tc>
        <w:tc>
          <w:tcPr>
            <w:tcW w:type="dxa" w:w="2608"/>
          </w:tcPr>
          <w:p>
            <w:r/>
            <w:r>
              <w:rPr>
                <w:b w:val="0"/>
                <w:sz w:val="17"/>
              </w:rPr>
              <w:t>Filtro wavelet de la comparación de filtros</w:t>
            </w:r>
          </w:p>
        </w:tc>
        <w:tc>
          <w:tcPr>
            <w:tcW w:type="dxa" w:w="3175"/>
          </w:tcPr>
          <w:p>
            <w:r/>
            <w:r>
              <w:rPr>
                <w:b w:val="0"/>
                <w:sz w:val="17"/>
              </w:rPr>
              <w:t>G. R. Lee et al., "PyWavelets: A Python package for wavelet analysis," JOSS, vol. 4, no. 36, p. 1237, 2019.</w:t>
            </w:r>
          </w:p>
        </w:tc>
        <w:tc>
          <w:tcPr>
            <w:tcW w:type="dxa" w:w="1134"/>
          </w:tcPr>
          <w:p>
            <w:r/>
            <w:r>
              <w:rPr>
                <w:b w:val="0"/>
                <w:sz w:val="17"/>
              </w:rPr>
              <w:t>MIT</w:t>
            </w:r>
          </w:p>
        </w:tc>
      </w:tr>
      <w:tr>
        <w:tc>
          <w:tcPr>
            <w:tcW w:type="dxa" w:w="1701"/>
          </w:tcPr>
          <w:p>
            <w:r/>
            <w:r>
              <w:rPr>
                <w:b/>
                <w:sz w:val="17"/>
              </w:rPr>
              <w:t>pydataxm</w:t>
            </w:r>
          </w:p>
        </w:tc>
        <w:tc>
          <w:tcPr>
            <w:tcW w:type="dxa" w:w="1134"/>
          </w:tcPr>
          <w:p>
            <w:r/>
            <w:r>
              <w:rPr>
                <w:b w:val="0"/>
                <w:sz w:val="17"/>
              </w:rPr>
              <w:t>0.3.17</w:t>
            </w:r>
          </w:p>
        </w:tc>
        <w:tc>
          <w:tcPr>
            <w:tcW w:type="dxa" w:w="2608"/>
          </w:tcPr>
          <w:p>
            <w:r/>
            <w:r>
              <w:rPr>
                <w:b w:val="0"/>
                <w:sz w:val="17"/>
              </w:rPr>
              <w:t>Descarga de la API de XM</w:t>
            </w:r>
          </w:p>
        </w:tc>
        <w:tc>
          <w:tcPr>
            <w:tcW w:type="dxa" w:w="3175"/>
          </w:tcPr>
          <w:p>
            <w:r/>
            <w:r>
              <w:rPr>
                <w:b w:val="0"/>
                <w:sz w:val="17"/>
              </w:rPr>
              <w:t>Equipo de Analítica de XM, github.com/EquipoAnaliticaXM/API_XM</w:t>
            </w:r>
          </w:p>
        </w:tc>
        <w:tc>
          <w:tcPr>
            <w:tcW w:type="dxa" w:w="1134"/>
          </w:tcPr>
          <w:p>
            <w:r/>
            <w:r>
              <w:rPr>
                <w:b w:val="0"/>
                <w:sz w:val="17"/>
              </w:rPr>
              <w:t>MIT</w:t>
            </w:r>
          </w:p>
        </w:tc>
      </w:tr>
      <w:tr>
        <w:tc>
          <w:tcPr>
            <w:tcW w:type="dxa" w:w="1701"/>
          </w:tcPr>
          <w:p>
            <w:r/>
            <w:r>
              <w:rPr>
                <w:b/>
                <w:sz w:val="17"/>
              </w:rPr>
              <w:t>holidays</w:t>
            </w:r>
          </w:p>
        </w:tc>
        <w:tc>
          <w:tcPr>
            <w:tcW w:type="dxa" w:w="1134"/>
          </w:tcPr>
          <w:p>
            <w:r/>
            <w:r>
              <w:rPr>
                <w:b w:val="0"/>
                <w:sz w:val="17"/>
              </w:rPr>
              <w:t>0.102</w:t>
            </w:r>
          </w:p>
        </w:tc>
        <w:tc>
          <w:tcPr>
            <w:tcW w:type="dxa" w:w="2608"/>
          </w:tcPr>
          <w:p>
            <w:r/>
            <w:r>
              <w:rPr>
                <w:b w:val="0"/>
                <w:sz w:val="17"/>
              </w:rPr>
              <w:t>Festivos de Colombia</w:t>
            </w:r>
          </w:p>
        </w:tc>
        <w:tc>
          <w:tcPr>
            <w:tcW w:type="dxa" w:w="3175"/>
          </w:tcPr>
          <w:p>
            <w:r/>
            <w:r>
              <w:rPr>
                <w:b w:val="0"/>
                <w:sz w:val="17"/>
              </w:rPr>
              <w:t>github.com/vacanza/holidays</w:t>
            </w:r>
          </w:p>
        </w:tc>
        <w:tc>
          <w:tcPr>
            <w:tcW w:type="dxa" w:w="1134"/>
          </w:tcPr>
          <w:p>
            <w:r/>
            <w:r>
              <w:rPr>
                <w:b w:val="0"/>
                <w:sz w:val="17"/>
              </w:rPr>
              <w:t>MIT</w:t>
            </w:r>
          </w:p>
        </w:tc>
      </w:tr>
      <w:tr>
        <w:tc>
          <w:tcPr>
            <w:tcW w:type="dxa" w:w="1701"/>
          </w:tcPr>
          <w:p>
            <w:r/>
            <w:r>
              <w:rPr>
                <w:b/>
                <w:sz w:val="17"/>
              </w:rPr>
              <w:t>requests</w:t>
            </w:r>
          </w:p>
        </w:tc>
        <w:tc>
          <w:tcPr>
            <w:tcW w:type="dxa" w:w="1134"/>
          </w:tcPr>
          <w:p>
            <w:r/>
            <w:r>
              <w:rPr>
                <w:b w:val="0"/>
                <w:sz w:val="17"/>
              </w:rPr>
              <w:t>2.33.1</w:t>
            </w:r>
          </w:p>
        </w:tc>
        <w:tc>
          <w:tcPr>
            <w:tcW w:type="dxa" w:w="2608"/>
          </w:tcPr>
          <w:p>
            <w:r/>
            <w:r>
              <w:rPr>
                <w:b w:val="0"/>
                <w:sz w:val="17"/>
              </w:rPr>
              <w:t>Descarga del predespacho y del ONI</w:t>
            </w:r>
          </w:p>
        </w:tc>
        <w:tc>
          <w:tcPr>
            <w:tcW w:type="dxa" w:w="3175"/>
          </w:tcPr>
          <w:p>
            <w:r/>
            <w:r>
              <w:rPr>
                <w:b w:val="0"/>
                <w:sz w:val="17"/>
              </w:rPr>
              <w:t>—</w:t>
            </w:r>
          </w:p>
        </w:tc>
        <w:tc>
          <w:tcPr>
            <w:tcW w:type="dxa" w:w="1134"/>
          </w:tcPr>
          <w:p>
            <w:r/>
            <w:r>
              <w:rPr>
                <w:b w:val="0"/>
                <w:sz w:val="17"/>
              </w:rPr>
              <w:t>Apache 2.0</w:t>
            </w:r>
          </w:p>
        </w:tc>
      </w:tr>
      <w:tr>
        <w:tc>
          <w:tcPr>
            <w:tcW w:type="dxa" w:w="1701"/>
          </w:tcPr>
          <w:p>
            <w:r/>
            <w:r>
              <w:rPr>
                <w:b/>
                <w:sz w:val="17"/>
              </w:rPr>
              <w:t>Matplotlib / seaborn</w:t>
            </w:r>
          </w:p>
        </w:tc>
        <w:tc>
          <w:tcPr>
            <w:tcW w:type="dxa" w:w="1134"/>
          </w:tcPr>
          <w:p>
            <w:r/>
            <w:r>
              <w:rPr>
                <w:b w:val="0"/>
                <w:sz w:val="17"/>
              </w:rPr>
              <w:t>3.10.8 / 0.13.2</w:t>
            </w:r>
          </w:p>
        </w:tc>
        <w:tc>
          <w:tcPr>
            <w:tcW w:type="dxa" w:w="2608"/>
          </w:tcPr>
          <w:p>
            <w:r/>
            <w:r>
              <w:rPr>
                <w:b w:val="0"/>
                <w:sz w:val="17"/>
              </w:rPr>
              <w:t>Figuras del informe y de los notebooks</w:t>
            </w:r>
          </w:p>
        </w:tc>
        <w:tc>
          <w:tcPr>
            <w:tcW w:type="dxa" w:w="3175"/>
          </w:tcPr>
          <w:p>
            <w:r/>
            <w:r>
              <w:rPr>
                <w:b w:val="0"/>
                <w:sz w:val="17"/>
              </w:rPr>
              <w:t>J. D. Hunter, "Matplotlib: A 2D graphics environment," Comput. Sci. Eng., vol. 9, no. 3, pp. 90–95, 2007; M. L. Waskom, "seaborn," JOSS, vol. 6, no. 60, p. 3021, 2021.</w:t>
            </w:r>
          </w:p>
        </w:tc>
        <w:tc>
          <w:tcPr>
            <w:tcW w:type="dxa" w:w="1134"/>
          </w:tcPr>
          <w:p>
            <w:r/>
            <w:r>
              <w:rPr>
                <w:b w:val="0"/>
                <w:sz w:val="17"/>
              </w:rPr>
              <w:t>PSF / BSD-3</w:t>
            </w:r>
          </w:p>
        </w:tc>
      </w:tr>
      <w:tr>
        <w:tc>
          <w:tcPr>
            <w:tcW w:type="dxa" w:w="1701"/>
          </w:tcPr>
          <w:p>
            <w:r/>
            <w:r>
              <w:rPr>
                <w:b/>
                <w:sz w:val="17"/>
              </w:rPr>
              <w:t>Streamlit</w:t>
            </w:r>
          </w:p>
        </w:tc>
        <w:tc>
          <w:tcPr>
            <w:tcW w:type="dxa" w:w="1134"/>
          </w:tcPr>
          <w:p>
            <w:r/>
            <w:r>
              <w:rPr>
                <w:b w:val="0"/>
                <w:sz w:val="17"/>
              </w:rPr>
              <w:t>1.63.0</w:t>
            </w:r>
          </w:p>
        </w:tc>
        <w:tc>
          <w:tcPr>
            <w:tcW w:type="dxa" w:w="2608"/>
          </w:tcPr>
          <w:p>
            <w:r/>
            <w:r>
              <w:rPr>
                <w:b w:val="0"/>
                <w:sz w:val="17"/>
              </w:rPr>
              <w:t>Dashboard (augurpredictor.streamlit.app)</w:t>
            </w:r>
          </w:p>
        </w:tc>
        <w:tc>
          <w:tcPr>
            <w:tcW w:type="dxa" w:w="3175"/>
          </w:tcPr>
          <w:p>
            <w:r/>
            <w:r>
              <w:rPr>
                <w:b w:val="0"/>
                <w:sz w:val="17"/>
              </w:rPr>
              <w:t>streamlit.io</w:t>
            </w:r>
          </w:p>
        </w:tc>
        <w:tc>
          <w:tcPr>
            <w:tcW w:type="dxa" w:w="1134"/>
          </w:tcPr>
          <w:p>
            <w:r/>
            <w:r>
              <w:rPr>
                <w:b w:val="0"/>
                <w:sz w:val="17"/>
              </w:rPr>
              <w:t>Apache 2.0</w:t>
            </w:r>
          </w:p>
        </w:tc>
      </w:tr>
      <w:tr>
        <w:tc>
          <w:tcPr>
            <w:tcW w:type="dxa" w:w="1701"/>
          </w:tcPr>
          <w:p>
            <w:r/>
            <w:r>
              <w:rPr>
                <w:b/>
                <w:sz w:val="17"/>
              </w:rPr>
              <w:t>Plotly</w:t>
            </w:r>
          </w:p>
        </w:tc>
        <w:tc>
          <w:tcPr>
            <w:tcW w:type="dxa" w:w="1134"/>
          </w:tcPr>
          <w:p>
            <w:r/>
            <w:r>
              <w:rPr>
                <w:b w:val="0"/>
                <w:sz w:val="17"/>
              </w:rPr>
              <w:t>7.0.0</w:t>
            </w:r>
          </w:p>
        </w:tc>
        <w:tc>
          <w:tcPr>
            <w:tcW w:type="dxa" w:w="2608"/>
          </w:tcPr>
          <w:p>
            <w:r/>
            <w:r>
              <w:rPr>
                <w:b w:val="0"/>
                <w:sz w:val="17"/>
              </w:rPr>
              <w:t>Gráficas interactivas del dashboard</w:t>
            </w:r>
          </w:p>
        </w:tc>
        <w:tc>
          <w:tcPr>
            <w:tcW w:type="dxa" w:w="3175"/>
          </w:tcPr>
          <w:p>
            <w:r/>
            <w:r>
              <w:rPr>
                <w:b w:val="0"/>
                <w:sz w:val="17"/>
              </w:rPr>
              <w:t>plotly.com/python</w:t>
            </w:r>
          </w:p>
        </w:tc>
        <w:tc>
          <w:tcPr>
            <w:tcW w:type="dxa" w:w="1134"/>
          </w:tcPr>
          <w:p>
            <w:r/>
            <w:r>
              <w:rPr>
                <w:b w:val="0"/>
                <w:sz w:val="17"/>
              </w:rPr>
              <w:t>MIT</w:t>
            </w:r>
          </w:p>
        </w:tc>
      </w:tr>
      <w:tr>
        <w:tc>
          <w:tcPr>
            <w:tcW w:type="dxa" w:w="1701"/>
          </w:tcPr>
          <w:p>
            <w:r/>
            <w:r>
              <w:rPr>
                <w:b/>
                <w:sz w:val="17"/>
              </w:rPr>
              <w:t>jsPDF</w:t>
            </w:r>
          </w:p>
        </w:tc>
        <w:tc>
          <w:tcPr>
            <w:tcW w:type="dxa" w:w="1134"/>
          </w:tcPr>
          <w:p>
            <w:r/>
            <w:r>
              <w:rPr>
                <w:b w:val="0"/>
                <w:sz w:val="17"/>
              </w:rPr>
              <w:t>2.5.1</w:t>
            </w:r>
          </w:p>
        </w:tc>
        <w:tc>
          <w:tcPr>
            <w:tcW w:type="dxa" w:w="2608"/>
          </w:tcPr>
          <w:p>
            <w:r/>
            <w:r>
              <w:rPr>
                <w:b w:val="0"/>
                <w:sz w:val="17"/>
              </w:rPr>
              <w:t>Exportar gráficas y reporte del día a PDF desde el dashboard</w:t>
            </w:r>
          </w:p>
        </w:tc>
        <w:tc>
          <w:tcPr>
            <w:tcW w:type="dxa" w:w="3175"/>
          </w:tcPr>
          <w:p>
            <w:r/>
            <w:r>
              <w:rPr>
                <w:b w:val="0"/>
                <w:sz w:val="17"/>
              </w:rPr>
              <w:t>github.com/parallax/jsPDF</w:t>
            </w:r>
          </w:p>
        </w:tc>
        <w:tc>
          <w:tcPr>
            <w:tcW w:type="dxa" w:w="1134"/>
          </w:tcPr>
          <w:p>
            <w:r/>
            <w:r>
              <w:rPr>
                <w:b w:val="0"/>
                <w:sz w:val="17"/>
              </w:rPr>
              <w:t>MIT</w:t>
            </w:r>
          </w:p>
        </w:tc>
      </w:tr>
      <w:tr>
        <w:tc>
          <w:tcPr>
            <w:tcW w:type="dxa" w:w="1701"/>
          </w:tcPr>
          <w:p>
            <w:r/>
            <w:r>
              <w:rPr>
                <w:b/>
                <w:sz w:val="17"/>
              </w:rPr>
              <w:t>python-docx / openpyxl</w:t>
            </w:r>
          </w:p>
        </w:tc>
        <w:tc>
          <w:tcPr>
            <w:tcW w:type="dxa" w:w="1134"/>
          </w:tcPr>
          <w:p>
            <w:r/>
            <w:r>
              <w:rPr>
                <w:b w:val="0"/>
                <w:sz w:val="17"/>
              </w:rPr>
              <w:t>1.2.0 / 3.1.5</w:t>
            </w:r>
          </w:p>
        </w:tc>
        <w:tc>
          <w:tcPr>
            <w:tcW w:type="dxa" w:w="2608"/>
          </w:tcPr>
          <w:p>
            <w:r/>
            <w:r>
              <w:rPr>
                <w:b w:val="0"/>
                <w:sz w:val="17"/>
              </w:rPr>
              <w:t>Generación de informes Word y tablas Excel</w:t>
            </w:r>
          </w:p>
        </w:tc>
        <w:tc>
          <w:tcPr>
            <w:tcW w:type="dxa" w:w="3175"/>
          </w:tcPr>
          <w:p>
            <w:r/>
            <w:r>
              <w:rPr>
                <w:b w:val="0"/>
                <w:sz w:val="17"/>
              </w:rPr>
              <w:t>—</w:t>
            </w:r>
          </w:p>
        </w:tc>
        <w:tc>
          <w:tcPr>
            <w:tcW w:type="dxa" w:w="1134"/>
          </w:tcPr>
          <w:p>
            <w:r/>
            <w:r>
              <w:rPr>
                <w:b w:val="0"/>
                <w:sz w:val="17"/>
              </w:rPr>
              <w:t>MIT</w:t>
            </w:r>
          </w:p>
        </w:tc>
      </w:tr>
      <w:tr>
        <w:tc>
          <w:tcPr>
            <w:tcW w:type="dxa" w:w="1701"/>
          </w:tcPr>
          <w:p>
            <w:r/>
            <w:r>
              <w:rPr>
                <w:b/>
                <w:sz w:val="17"/>
              </w:rPr>
              <w:t>Jupyter (ipykernel, nbconvert)</w:t>
            </w:r>
          </w:p>
        </w:tc>
        <w:tc>
          <w:tcPr>
            <w:tcW w:type="dxa" w:w="1134"/>
          </w:tcPr>
          <w:p>
            <w:r/>
            <w:r>
              <w:rPr>
                <w:b w:val="0"/>
                <w:sz w:val="17"/>
              </w:rPr>
              <w:t>—</w:t>
            </w:r>
          </w:p>
        </w:tc>
        <w:tc>
          <w:tcPr>
            <w:tcW w:type="dxa" w:w="2608"/>
          </w:tcPr>
          <w:p>
            <w:r/>
            <w:r>
              <w:rPr>
                <w:b w:val="0"/>
                <w:sz w:val="17"/>
              </w:rPr>
              <w:t>Notebooks 01 a 12</w:t>
            </w:r>
          </w:p>
        </w:tc>
        <w:tc>
          <w:tcPr>
            <w:tcW w:type="dxa" w:w="3175"/>
          </w:tcPr>
          <w:p>
            <w:r/>
            <w:r>
              <w:rPr>
                <w:b w:val="0"/>
                <w:sz w:val="17"/>
              </w:rPr>
              <w:t>jupyter.org</w:t>
            </w:r>
          </w:p>
        </w:tc>
        <w:tc>
          <w:tcPr>
            <w:tcW w:type="dxa" w:w="1134"/>
          </w:tcPr>
          <w:p>
            <w:r/>
            <w:r>
              <w:rPr>
                <w:b w:val="0"/>
                <w:sz w:val="17"/>
              </w:rPr>
              <w:t>BSD-3</w:t>
            </w:r>
          </w:p>
        </w:tc>
      </w:tr>
    </w:tbl>
    <w:p>
      <w:pPr>
        <w:pStyle w:val="Heading1"/>
      </w:pPr>
      <w:r>
        <w:t>10. Herramientas e infraestructura</w:t>
      </w:r>
    </w:p>
    <w:p>
      <w:pPr>
        <w:pStyle w:val="ListBullet"/>
      </w:pPr>
      <w:r>
        <w:rPr>
          <w:b/>
        </w:rPr>
        <w:t xml:space="preserve">Python 3.12: </w:t>
      </w:r>
      <w:r>
        <w:t>Lenguaje de todo el proyecto.</w:t>
      </w:r>
    </w:p>
    <w:p>
      <w:pPr>
        <w:pStyle w:val="ListBullet"/>
      </w:pPr>
      <w:r>
        <w:rPr>
          <w:b/>
        </w:rPr>
        <w:t xml:space="preserve">Git y GitHub (github.com/Ziskito/xm-spot-price-predictor): </w:t>
      </w:r>
      <w:r>
        <w:t>Control de versiones y repositorio público.</w:t>
      </w:r>
    </w:p>
    <w:p>
      <w:pPr>
        <w:pStyle w:val="ListBullet"/>
      </w:pPr>
      <w:r>
        <w:rPr>
          <w:b/>
        </w:rPr>
        <w:t xml:space="preserve">GitHub Actions: </w:t>
      </w:r>
      <w:r>
        <w:t>Actualización diaria automática del pronóstico (hacia las 12:00, 15:40 y 18:40).</w:t>
      </w:r>
    </w:p>
    <w:p>
      <w:pPr>
        <w:pStyle w:val="ListBullet"/>
      </w:pPr>
      <w:r>
        <w:rPr>
          <w:b/>
        </w:rPr>
        <w:t xml:space="preserve">Streamlit Community Cloud: </w:t>
      </w:r>
      <w:r>
        <w:t>Publicación del dashboard; cada cambio en main se redespliega.</w:t>
      </w:r>
    </w:p>
    <w:p>
      <w:pPr>
        <w:pStyle w:val="ListBullet"/>
      </w:pPr>
      <w:r>
        <w:rPr>
          <w:b/>
        </w:rPr>
        <w:t xml:space="preserve">Playwright (Microsoft): </w:t>
      </w:r>
      <w:r>
        <w:t>Pruebas del dashboard en navegador y grabación de las tomas del video.</w:t>
      </w:r>
    </w:p>
    <w:p>
      <w:pPr>
        <w:pStyle w:val="ListBullet"/>
      </w:pPr>
      <w:r>
        <w:rPr>
          <w:b/>
        </w:rPr>
        <w:t xml:space="preserve">HyperFrames (HeyGen): </w:t>
      </w:r>
      <w:r>
        <w:t>Edición del video explicativo (HTML renderizado a video).</w:t>
      </w:r>
    </w:p>
    <w:p>
      <w:pPr>
        <w:pStyle w:val="ListBullet"/>
      </w:pPr>
      <w:r>
        <w:rPr>
          <w:b/>
        </w:rPr>
        <w:t xml:space="preserve">whisper.cpp (modelo small de OpenAI Whisper): </w:t>
      </w:r>
      <w:r>
        <w:t>Tiempos por palabra para los subtítulos del video.</w:t>
      </w:r>
    </w:p>
    <w:p>
      <w:pPr>
        <w:pStyle w:val="ListBullet"/>
      </w:pPr>
      <w:r>
        <w:rPr>
          <w:b/>
        </w:rPr>
        <w:t xml:space="preserve">Gemini TTS (Google), voz Charon: </w:t>
      </w:r>
      <w:r>
        <w:t>Voz del video explicativo.</w:t>
      </w:r>
    </w:p>
    <w:p>
      <w:pPr>
        <w:pStyle w:val="ListBullet"/>
      </w:pPr>
      <w:r>
        <w:rPr>
          <w:b/>
        </w:rPr>
        <w:t xml:space="preserve">FFmpeg: </w:t>
      </w:r>
      <w:r>
        <w:t>Conversión de las tomas del video.</w:t>
      </w:r>
    </w:p>
    <w:p>
      <w:pPr>
        <w:pStyle w:val="ListBullet"/>
      </w:pPr>
      <w:r>
        <w:rPr>
          <w:b/>
        </w:rPr>
        <w:t xml:space="preserve">Canva: </w:t>
      </w:r>
      <w:r>
        <w:t>Presentación del proyecto.</w:t>
      </w:r>
    </w:p>
    <w:p>
      <w:pPr>
        <w:pStyle w:val="ListBullet"/>
      </w:pPr>
      <w:r>
        <w:rPr>
          <w:b/>
        </w:rPr>
        <w:t xml:space="preserve">Microsoft Forms: </w:t>
      </w:r>
      <w:r>
        <w:t>Encuestas de validación con usuarios (OE4-2).</w:t>
      </w:r>
    </w:p>
    <w:p>
      <w:pPr>
        <w:pStyle w:val="ListBullet"/>
      </w:pPr>
      <w:r>
        <w:rPr>
          <w:b/>
        </w:rPr>
        <w:t xml:space="preserve">LibreOffice: </w:t>
      </w:r>
      <w:r>
        <w:t>Conversión de los informes a PDF.</w:t>
      </w:r>
    </w:p>
    <w:p>
      <w:pPr>
        <w:pStyle w:val="ListBullet"/>
      </w:pPr>
      <w:r>
        <w:rPr>
          <w:b/>
        </w:rPr>
        <w:t xml:space="preserve">Claude Code (Anthropic): </w:t>
      </w:r>
      <w:r>
        <w:t>Asistente de programación usado durante el desarrollo.</w:t>
      </w:r>
    </w:p>
    <w:p>
      <w:pPr>
        <w:pStyle w:val="Heading1"/>
      </w:pPr>
      <w:r>
        <w:t>11. Material propio del proyecto (para citar o anexar)</w:t>
      </w:r>
    </w:p>
    <w:p>
      <w:pPr>
        <w:pStyle w:val="ListBullet"/>
      </w:pPr>
      <w:r>
        <w:rPr>
          <w:b/>
        </w:rPr>
        <w:t xml:space="preserve">Repositorio: </w:t>
      </w:r>
      <w:r>
        <w:t>github.com/Ziskito/xm-spot-price-predictor (código, datos procesados, notebooks y bitácora en el README).</w:t>
      </w:r>
    </w:p>
    <w:p>
      <w:pPr>
        <w:pStyle w:val="ListBullet"/>
      </w:pPr>
      <w:r>
        <w:rPr>
          <w:b/>
        </w:rPr>
        <w:t xml:space="preserve">Dashboard en línea: </w:t>
      </w:r>
      <w:r>
        <w:t>https://augurpredictor.streamlit.app</w:t>
      </w:r>
    </w:p>
    <w:p>
      <w:pPr>
        <w:pStyle w:val="ListBullet"/>
      </w:pPr>
      <w:r>
        <w:rPr>
          <w:b/>
        </w:rPr>
        <w:t xml:space="preserve">Documento de funcionamiento: </w:t>
      </w:r>
      <w:r>
        <w:t>docs/Funcionamiento_Augur.pdf: variables, métricas, modelos, benchmark, walk-forward y detector de 72 h, con sus tablas.</w:t>
      </w:r>
    </w:p>
    <w:p>
      <w:pPr>
        <w:pStyle w:val="ListBullet"/>
      </w:pPr>
      <w:r>
        <w:rPr>
          <w:b/>
        </w:rPr>
        <w:t xml:space="preserve">Manual de usuario: </w:t>
      </w:r>
      <w:r>
        <w:t>docs/Manual_Usuario_augur.pdf (MU-AUG-001).</w:t>
      </w:r>
    </w:p>
    <w:p>
      <w:pPr>
        <w:pStyle w:val="ListBullet"/>
      </w:pPr>
      <w:r>
        <w:rPr>
          <w:b/>
        </w:rPr>
        <w:t xml:space="preserve">Resultados del escenario realista: </w:t>
      </w:r>
      <w:r>
        <w:t>data/processed/resultados/escenario_realista/ (benchmark/RESUMEN.md, walkforward, eventos_72h).</w:t>
      </w:r>
    </w:p>
    <w:p>
      <w:pPr>
        <w:pStyle w:val="ListBullet"/>
      </w:pPr>
      <w:r>
        <w:rPr>
          <w:b/>
        </w:rPr>
        <w:t xml:space="preserve">Video explicativo: </w:t>
      </w:r>
      <w:r>
        <w:t>docs/video/demo_final.mp4 (3:53) con subtítulos y guion.</w:t>
      </w:r>
    </w:p>
    <w:p>
      <w:pPr>
        <w:pStyle w:val="ListBullet"/>
      </w:pPr>
      <w:r>
        <w:rPr>
          <w:b/>
        </w:rPr>
        <w:t xml:space="preserve">Formulación: </w:t>
      </w:r>
      <w:r>
        <w:t>J. D. Barceló Barraza y R. A. Dede Perdomo, Anexo 1 – Formulación del proyecto, Universidad del Norte, 2026.</w:t>
      </w:r>
    </w:p>
    <w:p>
      <w:pPr>
        <w:jc w:val="center"/>
      </w:pPr>
      <w:r>
        <w:rPr>
          <w:color w:val="555555"/>
          <w:sz w:val="18"/>
        </w:rPr>
        <w:t>91 referencias bibliográficas, regulatorias y de datos · 24 librerías · 13 herramientas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