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3EE79" w14:textId="7BA2AAE2" w:rsidR="00EF343F" w:rsidRDefault="00EF343F">
      <w:r>
        <w:t>A Quantitative Framework for Emergency Department Resource Allocation and Patient Flow Optimisation</w:t>
      </w:r>
    </w:p>
    <w:sectPr w:rsidR="00EF34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43F"/>
    <w:rsid w:val="000D11C7"/>
    <w:rsid w:val="00EF3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29AA68"/>
  <w15:chartTrackingRefBased/>
  <w15:docId w15:val="{DDDE724E-D729-6B40-8FD6-8BF8234E5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4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4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4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4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4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4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4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4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4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4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4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4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4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4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4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4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4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4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4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4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4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4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4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4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4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4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4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4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4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Zitang Huang</dc:creator>
  <cp:keywords/>
  <dc:description/>
  <cp:lastModifiedBy>Zitang Huang</cp:lastModifiedBy>
  <cp:revision>1</cp:revision>
  <dcterms:created xsi:type="dcterms:W3CDTF">2026-06-30T15:35:00Z</dcterms:created>
  <dcterms:modified xsi:type="dcterms:W3CDTF">2026-06-30T15:35:00Z</dcterms:modified>
</cp:coreProperties>
</file>