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E65E7" w14:textId="0F90DAB3" w:rsidR="00136E98" w:rsidRDefault="00136E98" w:rsidP="00136E98">
      <w:r>
        <w:t>Reviewer #1 (Rationale for Significance Rating for Authors):</w:t>
      </w:r>
    </w:p>
    <w:p w14:paraId="7CCB1A21" w14:textId="40978332" w:rsidR="00136E98" w:rsidRDefault="00136E98" w:rsidP="00136E98">
      <w:r>
        <w:t>The data set and design of the study are interesting, and the manuscript is overall well written. The main claim is that the neural representations elicited by visual stimuli have a degree of "cue-invariance" quantified by a "cue-transfer decoding" method, but unfortunately it is not clear what this tells us about the structure of the neural representations.</w:t>
      </w:r>
    </w:p>
    <w:p w14:paraId="6CD58D10" w14:textId="3B582BDD" w:rsidR="00136E98" w:rsidRDefault="00136E98" w:rsidP="00136E98">
      <w:r>
        <w:t>Reviewer #</w:t>
      </w:r>
      <w:proofErr w:type="gramStart"/>
      <w:r>
        <w:t>1 :</w:t>
      </w:r>
      <w:proofErr w:type="gramEnd"/>
    </w:p>
    <w:p w14:paraId="6E472CF8" w14:textId="5791A156" w:rsidR="00423EE5" w:rsidRDefault="00136E98" w:rsidP="00136E98">
      <w:r>
        <w:t>This manuscript studies the structure of stimulus-evoked neural activity patterns in V1 and V2 of macaques. The data set and design of the study are interesting, and the manuscript is overall well written. The main claim is that the neural representations elicited by visual stimuli have a degree of "cue-invariance". The central analysis to support this is termed "cue-transfer decoding", which involves fitting a Procrustes transformation (or perhaps just a rotation according to the methods) between the neural activity patterns from different visual stimulus sets.</w:t>
      </w:r>
    </w:p>
    <w:p w14:paraId="27BB5ABA" w14:textId="48A8125C" w:rsidR="0063788B" w:rsidRPr="0063788B" w:rsidRDefault="0063788B" w:rsidP="00136E98">
      <w:pPr>
        <w:rPr>
          <w:b/>
          <w:bCs/>
          <w:i/>
          <w:iCs/>
        </w:rPr>
      </w:pPr>
      <w:r w:rsidRPr="0063788B">
        <w:rPr>
          <w:b/>
          <w:bCs/>
          <w:i/>
          <w:iCs/>
        </w:rPr>
        <w:t>Reviewer's point 1</w:t>
      </w:r>
      <w:r w:rsidR="00CB7D56">
        <w:rPr>
          <w:b/>
          <w:bCs/>
          <w:i/>
          <w:iCs/>
        </w:rPr>
        <w:t xml:space="preserve"> </w:t>
      </w:r>
      <w:r w:rsidR="00CB7D56" w:rsidRPr="00CB7D56">
        <w:rPr>
          <w:b/>
          <w:bCs/>
          <w:i/>
          <w:iCs/>
        </w:rPr>
        <w:t xml:space="preserve">- </w:t>
      </w:r>
      <w:r w:rsidR="00CB7D56" w:rsidRPr="00CB7D56">
        <w:rPr>
          <w:b/>
          <w:bCs/>
          <w:i/>
          <w:iCs/>
        </w:rPr>
        <w:t>terminology</w:t>
      </w:r>
    </w:p>
    <w:p w14:paraId="535700BF" w14:textId="6D80E6E1" w:rsidR="00136E98" w:rsidRDefault="00136E98" w:rsidP="00136E98">
      <w:r w:rsidRPr="00136E98">
        <w:t xml:space="preserve">Let's start with a note on terminology: "cue-invariant neural representations" </w:t>
      </w:r>
      <w:proofErr w:type="gramStart"/>
      <w:r w:rsidRPr="00136E98">
        <w:t>doesn't</w:t>
      </w:r>
      <w:proofErr w:type="gramEnd"/>
      <w:r w:rsidRPr="00136E98">
        <w:t xml:space="preserve"> quite sound right in two ways. First, even if there was an invariance of the neural representations, it would be with respect to the rendering/appearance, not with respect to other features of the visual cue. Second, the neural representations aren't </w:t>
      </w:r>
      <w:proofErr w:type="gramStart"/>
      <w:r w:rsidRPr="00136E98">
        <w:t>actually invariant</w:t>
      </w:r>
      <w:proofErr w:type="gramEnd"/>
      <w:r w:rsidRPr="00136E98">
        <w:t xml:space="preserve"> if they need to be mapped by a Procrustes transformation to generalize from one rendering style to another. I believe the correct mathematical term for such a situation would be "equivariant", so a term like "rendering-equivariant neural representations" would be more accurate. </w:t>
      </w:r>
      <w:r w:rsidRPr="003A6AC7">
        <w:t>(As an aside, I would argue that we already knew that at least in the human visual system, the neural representation in the early visual system cannot be truly invariant to rendering style, otherwise we couldn't distinguish different renderings of the same contour - this point should probably be mentioned when motivating the study).</w:t>
      </w:r>
    </w:p>
    <w:p w14:paraId="35868FB6" w14:textId="19E349D7" w:rsidR="0063788B" w:rsidRPr="00CB7D56" w:rsidRDefault="0063788B" w:rsidP="00136E98">
      <w:pPr>
        <w:rPr>
          <w:b/>
          <w:bCs/>
          <w:i/>
          <w:iCs/>
        </w:rPr>
      </w:pPr>
      <w:r w:rsidRPr="00CB7D56">
        <w:rPr>
          <w:b/>
          <w:bCs/>
          <w:i/>
          <w:iCs/>
        </w:rPr>
        <w:t>Reply to point 1</w:t>
      </w:r>
    </w:p>
    <w:p w14:paraId="3A0D1362" w14:textId="77777777" w:rsidR="00CB7D56" w:rsidRDefault="00CB7D56" w:rsidP="00136E98"/>
    <w:p w14:paraId="38626C63" w14:textId="7ABCD240" w:rsidR="00CB7D56" w:rsidRDefault="00CB7D56" w:rsidP="00136E98">
      <w:r w:rsidRPr="0063788B">
        <w:rPr>
          <w:b/>
          <w:bCs/>
          <w:i/>
          <w:iCs/>
        </w:rPr>
        <w:t xml:space="preserve">Reviewer's point </w:t>
      </w:r>
      <w:r>
        <w:rPr>
          <w:b/>
          <w:bCs/>
          <w:i/>
          <w:iCs/>
        </w:rPr>
        <w:t>2</w:t>
      </w:r>
      <w:r>
        <w:rPr>
          <w:b/>
          <w:bCs/>
          <w:i/>
          <w:iCs/>
        </w:rPr>
        <w:t xml:space="preserve"> </w:t>
      </w:r>
      <w:r>
        <w:rPr>
          <w:b/>
          <w:bCs/>
          <w:i/>
          <w:iCs/>
        </w:rPr>
        <w:t>–</w:t>
      </w:r>
      <w:r w:rsidRPr="00CB7D56">
        <w:rPr>
          <w:b/>
          <w:bCs/>
          <w:i/>
          <w:iCs/>
        </w:rPr>
        <w:t xml:space="preserve"> </w:t>
      </w:r>
      <w:r>
        <w:rPr>
          <w:b/>
          <w:bCs/>
          <w:i/>
          <w:iCs/>
        </w:rPr>
        <w:t>simple geometric measures like angles and distances</w:t>
      </w:r>
    </w:p>
    <w:p w14:paraId="126818D3" w14:textId="0F03EB9B" w:rsidR="00CB7D56" w:rsidRDefault="00CB7D56" w:rsidP="00136E98">
      <w:r w:rsidRPr="00CB7D56">
        <w:t xml:space="preserve">The properties that are </w:t>
      </w:r>
      <w:proofErr w:type="gramStart"/>
      <w:r w:rsidRPr="00CB7D56">
        <w:t>actually invariant</w:t>
      </w:r>
      <w:proofErr w:type="gramEnd"/>
      <w:r w:rsidRPr="00CB7D56">
        <w:t xml:space="preserve"> under a Procrustes transformation are relative distances between pairs of points (neural representations) and angles between them (i.e., the "shape" of the neural geometry, but not its overall scale). It seems puzzling that the authors don't test their main hypothesis directly in terms of these geometric quantities. Relative distances and angles of the neural geometry are easy to compute and compare </w:t>
      </w:r>
      <w:r w:rsidRPr="00CB7D56">
        <w:lastRenderedPageBreak/>
        <w:t>across different renderings, without training any decoders. The RSA analysis of Fig. 3 makes a start in this direction, but of course one cannot say much from these dimensionally reduced plots. What would be needed to argue that there is a geometric structure in the neural representations that is approximately preserved between rendering styles is a systematic quantification of these properties (angles and relative distances), with a careful statistical comparison to a control model to investigate the degree to which they are preserved.</w:t>
      </w:r>
    </w:p>
    <w:p w14:paraId="406F6C3B" w14:textId="03606C07" w:rsidR="00CB7D56" w:rsidRDefault="00CB7D56" w:rsidP="00136E98">
      <w:r>
        <w:t xml:space="preserve">Reply to point </w:t>
      </w:r>
      <w:r>
        <w:t>2</w:t>
      </w:r>
    </w:p>
    <w:p w14:paraId="625F301C" w14:textId="77777777" w:rsidR="00CB7D56" w:rsidRDefault="00CB7D56" w:rsidP="00136E98"/>
    <w:p w14:paraId="4DD3F280" w14:textId="63172012" w:rsidR="00CB7D56" w:rsidRDefault="00CB7D56" w:rsidP="00136E98">
      <w:r w:rsidRPr="0063788B">
        <w:rPr>
          <w:b/>
          <w:bCs/>
          <w:i/>
          <w:iCs/>
        </w:rPr>
        <w:t xml:space="preserve">Reviewer's point </w:t>
      </w:r>
      <w:r>
        <w:rPr>
          <w:b/>
          <w:bCs/>
          <w:i/>
          <w:iCs/>
        </w:rPr>
        <w:t>3</w:t>
      </w:r>
      <w:r>
        <w:rPr>
          <w:b/>
          <w:bCs/>
          <w:i/>
          <w:iCs/>
        </w:rPr>
        <w:t xml:space="preserve"> –</w:t>
      </w:r>
      <w:r w:rsidRPr="00CB7D56">
        <w:rPr>
          <w:b/>
          <w:bCs/>
          <w:i/>
          <w:iCs/>
        </w:rPr>
        <w:t xml:space="preserve"> </w:t>
      </w:r>
      <w:r w:rsidR="000523C6">
        <w:rPr>
          <w:b/>
          <w:bCs/>
          <w:i/>
          <w:iCs/>
        </w:rPr>
        <w:t>two classifiable multiclass manifolds must be relatable by a rotation (?)</w:t>
      </w:r>
    </w:p>
    <w:p w14:paraId="1A33F40F" w14:textId="29161D6E" w:rsidR="00CB7D56" w:rsidRDefault="00CB7D56" w:rsidP="00136E98">
      <w:r w:rsidRPr="00CB7D56">
        <w:t xml:space="preserve">This leads us to the main point of this review: the crucial component that is unfortunately missing in this manuscript is evidence that successful transfer decoding </w:t>
      </w:r>
      <w:proofErr w:type="gramStart"/>
      <w:r w:rsidRPr="00CB7D56">
        <w:t>actually implies</w:t>
      </w:r>
      <w:proofErr w:type="gramEnd"/>
      <w:r w:rsidRPr="00CB7D56">
        <w:t xml:space="preserve"> a special geometric structure ("invariance") of the neural representations, as the authors claim. This is not obvious, because the rotation that is fit to transform the neural representation has a lot of parameters (of order N^2 for N neurons). For a linear SVM (which is how the authors describe their decoder in the main text) it is easy to see that the cue-transfer decoding procedure does not imply any special geometric structure of the neural representations. This is because the predictions of a linear SVM depend solely on a decision boundary described by a hyperplane in the neural activity space, and a rotation of the activity patterns is equivalent to a rotation of this hyperplane. This means that as long as one decoder can correctly classify the stimuli for one rendering, and another decoder can correctly classify them for another rendering, cue-transfer decoding will work, because the Procrustes transformation of the representations can effectively turn the decision boundary of one decoder in that of the other one. (This is related to the fact that the decision boundary is specified by only N parameters - much fewer than those involved in fitting the rotation).</w:t>
      </w:r>
    </w:p>
    <w:p w14:paraId="76A0BBBC" w14:textId="1DD2FD2C" w:rsidR="00CB7D56" w:rsidRDefault="00CB7D56" w:rsidP="00136E98">
      <w:r>
        <w:t xml:space="preserve">Reply to point </w:t>
      </w:r>
      <w:r>
        <w:t>3</w:t>
      </w:r>
    </w:p>
    <w:p w14:paraId="00149043" w14:textId="77777777" w:rsidR="000523C6" w:rsidRDefault="000523C6" w:rsidP="00136E98"/>
    <w:p w14:paraId="5B0BC652" w14:textId="40F38210" w:rsidR="000523C6" w:rsidRDefault="000523C6" w:rsidP="00136E98">
      <w:r w:rsidRPr="0063788B">
        <w:rPr>
          <w:b/>
          <w:bCs/>
          <w:i/>
          <w:iCs/>
        </w:rPr>
        <w:t xml:space="preserve">Reviewer's point </w:t>
      </w:r>
      <w:r>
        <w:rPr>
          <w:b/>
          <w:bCs/>
          <w:i/>
          <w:iCs/>
        </w:rPr>
        <w:t>4 –</w:t>
      </w:r>
      <w:r w:rsidRPr="00CB7D56">
        <w:rPr>
          <w:b/>
          <w:bCs/>
          <w:i/>
          <w:iCs/>
        </w:rPr>
        <w:t xml:space="preserve"> </w:t>
      </w:r>
      <w:r w:rsidR="0043455E">
        <w:rPr>
          <w:b/>
          <w:bCs/>
          <w:i/>
          <w:iCs/>
        </w:rPr>
        <w:t>Compare with CCGP: whether our representational structures carry implications</w:t>
      </w:r>
    </w:p>
    <w:p w14:paraId="6DE3BCBC" w14:textId="64CAB6BF" w:rsidR="002D4A85" w:rsidRDefault="000523C6" w:rsidP="00136E98">
      <w:r w:rsidRPr="003A6AC7">
        <w:t xml:space="preserve">To put this in context, the authors might want to compare their analysis procedure to the Cross-Condition Generalization Performance of Bernardi et al. (Cell, 2020), where the main point is that the neural representations have a special structure (related to abstraction) </w:t>
      </w:r>
      <w:r w:rsidRPr="003A6AC7">
        <w:lastRenderedPageBreak/>
        <w:t>when a decoder fit in a training context can generalize to a testing context (with different experimental conditions, e.g. different stimulus features) without rotating the neural representations or decision boundaries.</w:t>
      </w:r>
    </w:p>
    <w:p w14:paraId="71B1A892" w14:textId="77777777" w:rsidR="0043455E" w:rsidRDefault="0043455E" w:rsidP="00136E98"/>
    <w:p w14:paraId="42828052" w14:textId="2FB1EB5F" w:rsidR="002D4A85" w:rsidRDefault="000523C6" w:rsidP="00136E98">
      <w:r w:rsidRPr="0063788B">
        <w:rPr>
          <w:b/>
          <w:bCs/>
          <w:i/>
          <w:iCs/>
        </w:rPr>
        <w:t xml:space="preserve">Reviewer's point </w:t>
      </w:r>
      <w:r w:rsidR="00445D4F">
        <w:rPr>
          <w:b/>
          <w:bCs/>
          <w:i/>
          <w:iCs/>
        </w:rPr>
        <w:t>5</w:t>
      </w:r>
      <w:r>
        <w:rPr>
          <w:b/>
          <w:bCs/>
          <w:i/>
          <w:iCs/>
        </w:rPr>
        <w:t xml:space="preserve"> –</w:t>
      </w:r>
      <w:r w:rsidRPr="00CB7D56">
        <w:rPr>
          <w:b/>
          <w:bCs/>
          <w:i/>
          <w:iCs/>
        </w:rPr>
        <w:t xml:space="preserve"> </w:t>
      </w:r>
      <w:r>
        <w:rPr>
          <w:b/>
          <w:bCs/>
          <w:i/>
          <w:iCs/>
        </w:rPr>
        <w:t>benchmarking PT decoding with varying numbers of neurons and stimuli, through simulations</w:t>
      </w:r>
    </w:p>
    <w:p w14:paraId="6671EB2E" w14:textId="66F5E40A" w:rsidR="00CB7D56" w:rsidRDefault="000523C6" w:rsidP="00136E98">
      <w:r w:rsidRPr="003A6AC7">
        <w:t xml:space="preserve">The decoder that's actually used in this paper is of course a multi-class classifier and from the methods I gather that it's essentially a one hidden layer neural network composed of several linear SVMs, which means that the decision boundaries are more complex and pieced together from the linear decision boundaries of individuals component SVMs. Because this decoder has more parameters, it's not immediately clear if successful cue-transfer decoding puts strong constraints on (the relationship between) the neural representations for two different rendering styles. Whether or not this is the case will likely depend on the ratio between the number of neurons and the number of stimulus classes to be classified. (Fewer classes and more neurons </w:t>
      </w:r>
      <w:proofErr w:type="gramStart"/>
      <w:r w:rsidRPr="003A6AC7">
        <w:t>makes</w:t>
      </w:r>
      <w:proofErr w:type="gramEnd"/>
      <w:r w:rsidRPr="003A6AC7">
        <w:t xml:space="preserve"> it easier for the Procrustes transformation to effectively align the decision boundaries). This needs to be studied systematically before we can draw any conclusions about what cue-transfer decoding really tells us.</w:t>
      </w:r>
    </w:p>
    <w:p w14:paraId="3DA75AFA" w14:textId="5859F279" w:rsidR="000523C6" w:rsidRDefault="000523C6" w:rsidP="00136E98">
      <w:r w:rsidRPr="003A6AC7">
        <w:t>A good starting point would be to benchmark the analysis pipeline on artificially generated data sets, where one can vary the number of neurons, the number of stimulus classes, and the statistics of the corresponding neural representations. E.g. one could use a mixture of Gaussians model for the neural representations, where in the simplest case the mean neural representations would be chosen randomly and independently for each stimulus class and each rendering style. (If cue-transfer decoding worked for this model of the representations, we'd conclude that it doesn't imply any special structure for this decoder architecture, so hopefully this can be ruled out). More interestingly, the mean representations could be determined by a linear combination of contour shape parameters (which are the same across different renderings), and rendering style/appearance parameters, which are different. The interesting question will then be which of the models in this family are consistent with the data, and which of them can be ruled out.</w:t>
      </w:r>
    </w:p>
    <w:p w14:paraId="4110E35D" w14:textId="17C55924" w:rsidR="0063788B" w:rsidRDefault="000523C6" w:rsidP="00136E98">
      <w:r>
        <w:t xml:space="preserve">Reply to point </w:t>
      </w:r>
      <w:r w:rsidR="00445D4F">
        <w:t>5</w:t>
      </w:r>
    </w:p>
    <w:p w14:paraId="4D766B35" w14:textId="77777777" w:rsidR="000523C6" w:rsidRDefault="000523C6" w:rsidP="00136E98"/>
    <w:p w14:paraId="1D8517B3" w14:textId="67DDA4DD" w:rsidR="000523C6" w:rsidRDefault="000523C6" w:rsidP="00136E98">
      <w:pPr>
        <w:rPr>
          <w:b/>
          <w:bCs/>
          <w:i/>
          <w:iCs/>
        </w:rPr>
      </w:pPr>
      <w:r w:rsidRPr="0063788B">
        <w:rPr>
          <w:b/>
          <w:bCs/>
          <w:i/>
          <w:iCs/>
        </w:rPr>
        <w:t xml:space="preserve">Reviewer's point </w:t>
      </w:r>
      <w:r w:rsidR="00445D4F">
        <w:rPr>
          <w:b/>
          <w:bCs/>
          <w:i/>
          <w:iCs/>
        </w:rPr>
        <w:t>6</w:t>
      </w:r>
      <w:r>
        <w:rPr>
          <w:b/>
          <w:bCs/>
          <w:i/>
          <w:iCs/>
        </w:rPr>
        <w:t xml:space="preserve"> –</w:t>
      </w:r>
      <w:r w:rsidRPr="00CB7D56">
        <w:rPr>
          <w:b/>
          <w:bCs/>
          <w:i/>
          <w:iCs/>
        </w:rPr>
        <w:t xml:space="preserve"> </w:t>
      </w:r>
      <w:r>
        <w:rPr>
          <w:b/>
          <w:bCs/>
          <w:i/>
          <w:iCs/>
        </w:rPr>
        <w:t>benchmarking PT decoding with varying numbers of neurons and stimuli</w:t>
      </w:r>
    </w:p>
    <w:p w14:paraId="47F9B357" w14:textId="5161DB9C" w:rsidR="00ED0362" w:rsidRDefault="00ED0362" w:rsidP="00136E98">
      <w:r w:rsidRPr="003A6AC7">
        <w:lastRenderedPageBreak/>
        <w:t xml:space="preserve">Other considerations the authors might want to expand on are how the brain could actually take advantage of their notion of "cue-invariance" if it indeed holds up, i.e., what would be the computational advantages (compared to say just using orthogonal subspaces for contour shape and rendering style), and how could this actually be achieved from the perspective of higher visual areas? Do the authors believe that a downstream readout can rotate the neural representation dynamically depending on the rendering style to read out the contour shapes of the stimuli? One wonders how this would be implemented in a network, especially given that rendering style is probably not discrete variable, but a multi-dimensional continuum, and each point in this style-space could correspond to a different rotation. Furthermore, the data preprocessing involves z-scoring of the representations (separately for the different rendering styles?), so this would probably also have to </w:t>
      </w:r>
      <w:proofErr w:type="gramStart"/>
      <w:r w:rsidRPr="003A6AC7">
        <w:t>implemented</w:t>
      </w:r>
      <w:proofErr w:type="gramEnd"/>
      <w:r w:rsidRPr="003A6AC7">
        <w:t xml:space="preserve"> by the readout system if the brain was to take advantage of the structure of representation implied by cue-transfer decoding.</w:t>
      </w:r>
    </w:p>
    <w:p w14:paraId="57810525" w14:textId="77777777" w:rsidR="00CB7D56" w:rsidRDefault="00CB7D56" w:rsidP="00136E98"/>
    <w:p w14:paraId="4A4EE48C" w14:textId="77777777" w:rsidR="00136E98" w:rsidRDefault="00136E98" w:rsidP="00136E98"/>
    <w:sectPr w:rsidR="00136E9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F1682" w14:textId="77777777" w:rsidR="00502CF8" w:rsidRDefault="00502CF8" w:rsidP="00136E98">
      <w:pPr>
        <w:spacing w:after="0" w:line="240" w:lineRule="auto"/>
      </w:pPr>
      <w:r>
        <w:separator/>
      </w:r>
    </w:p>
  </w:endnote>
  <w:endnote w:type="continuationSeparator" w:id="0">
    <w:p w14:paraId="57648D11" w14:textId="77777777" w:rsidR="00502CF8" w:rsidRDefault="00502CF8" w:rsidP="00136E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BFBB4" w14:textId="77777777" w:rsidR="00502CF8" w:rsidRDefault="00502CF8" w:rsidP="00136E98">
      <w:pPr>
        <w:spacing w:after="0" w:line="240" w:lineRule="auto"/>
      </w:pPr>
      <w:r>
        <w:separator/>
      </w:r>
    </w:p>
  </w:footnote>
  <w:footnote w:type="continuationSeparator" w:id="0">
    <w:p w14:paraId="39B63185" w14:textId="77777777" w:rsidR="00502CF8" w:rsidRDefault="00502CF8" w:rsidP="00136E9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4A7"/>
    <w:rsid w:val="000523C6"/>
    <w:rsid w:val="000D3535"/>
    <w:rsid w:val="00136E98"/>
    <w:rsid w:val="002D4A85"/>
    <w:rsid w:val="00322625"/>
    <w:rsid w:val="00423EE5"/>
    <w:rsid w:val="0043455E"/>
    <w:rsid w:val="00445D4F"/>
    <w:rsid w:val="004E43AA"/>
    <w:rsid w:val="00502CF8"/>
    <w:rsid w:val="0063788B"/>
    <w:rsid w:val="009464A7"/>
    <w:rsid w:val="00A13324"/>
    <w:rsid w:val="00C347D2"/>
    <w:rsid w:val="00CB7D56"/>
    <w:rsid w:val="00ED03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E74A45"/>
  <w15:chartTrackingRefBased/>
  <w15:docId w15:val="{E8CBE967-20D7-406C-9615-597A7640F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64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64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64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64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64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64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64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64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64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64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64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64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64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64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64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64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64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64A7"/>
    <w:rPr>
      <w:rFonts w:eastAsiaTheme="majorEastAsia" w:cstheme="majorBidi"/>
      <w:color w:val="272727" w:themeColor="text1" w:themeTint="D8"/>
    </w:rPr>
  </w:style>
  <w:style w:type="paragraph" w:styleId="Title">
    <w:name w:val="Title"/>
    <w:basedOn w:val="Normal"/>
    <w:next w:val="Normal"/>
    <w:link w:val="TitleChar"/>
    <w:uiPriority w:val="10"/>
    <w:qFormat/>
    <w:rsid w:val="009464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64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64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64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64A7"/>
    <w:pPr>
      <w:spacing w:before="160"/>
      <w:jc w:val="center"/>
    </w:pPr>
    <w:rPr>
      <w:i/>
      <w:iCs/>
      <w:color w:val="404040" w:themeColor="text1" w:themeTint="BF"/>
    </w:rPr>
  </w:style>
  <w:style w:type="character" w:customStyle="1" w:styleId="QuoteChar">
    <w:name w:val="Quote Char"/>
    <w:basedOn w:val="DefaultParagraphFont"/>
    <w:link w:val="Quote"/>
    <w:uiPriority w:val="29"/>
    <w:rsid w:val="009464A7"/>
    <w:rPr>
      <w:i/>
      <w:iCs/>
      <w:color w:val="404040" w:themeColor="text1" w:themeTint="BF"/>
    </w:rPr>
  </w:style>
  <w:style w:type="paragraph" w:styleId="ListParagraph">
    <w:name w:val="List Paragraph"/>
    <w:basedOn w:val="Normal"/>
    <w:uiPriority w:val="34"/>
    <w:qFormat/>
    <w:rsid w:val="009464A7"/>
    <w:pPr>
      <w:ind w:left="720"/>
      <w:contextualSpacing/>
    </w:pPr>
  </w:style>
  <w:style w:type="character" w:styleId="IntenseEmphasis">
    <w:name w:val="Intense Emphasis"/>
    <w:basedOn w:val="DefaultParagraphFont"/>
    <w:uiPriority w:val="21"/>
    <w:qFormat/>
    <w:rsid w:val="009464A7"/>
    <w:rPr>
      <w:i/>
      <w:iCs/>
      <w:color w:val="0F4761" w:themeColor="accent1" w:themeShade="BF"/>
    </w:rPr>
  </w:style>
  <w:style w:type="paragraph" w:styleId="IntenseQuote">
    <w:name w:val="Intense Quote"/>
    <w:basedOn w:val="Normal"/>
    <w:next w:val="Normal"/>
    <w:link w:val="IntenseQuoteChar"/>
    <w:uiPriority w:val="30"/>
    <w:qFormat/>
    <w:rsid w:val="009464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64A7"/>
    <w:rPr>
      <w:i/>
      <w:iCs/>
      <w:color w:val="0F4761" w:themeColor="accent1" w:themeShade="BF"/>
    </w:rPr>
  </w:style>
  <w:style w:type="character" w:styleId="IntenseReference">
    <w:name w:val="Intense Reference"/>
    <w:basedOn w:val="DefaultParagraphFont"/>
    <w:uiPriority w:val="32"/>
    <w:qFormat/>
    <w:rsid w:val="009464A7"/>
    <w:rPr>
      <w:b/>
      <w:bCs/>
      <w:smallCaps/>
      <w:color w:val="0F4761" w:themeColor="accent1" w:themeShade="BF"/>
      <w:spacing w:val="5"/>
    </w:rPr>
  </w:style>
  <w:style w:type="paragraph" w:styleId="Header">
    <w:name w:val="header"/>
    <w:basedOn w:val="Normal"/>
    <w:link w:val="HeaderChar"/>
    <w:uiPriority w:val="99"/>
    <w:unhideWhenUsed/>
    <w:rsid w:val="00136E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6E98"/>
  </w:style>
  <w:style w:type="paragraph" w:styleId="Footer">
    <w:name w:val="footer"/>
    <w:basedOn w:val="Normal"/>
    <w:link w:val="FooterChar"/>
    <w:uiPriority w:val="99"/>
    <w:unhideWhenUsed/>
    <w:rsid w:val="00136E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6E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1936</TotalTime>
  <Pages>4</Pages>
  <Words>1271</Words>
  <Characters>7251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zw3260</dc:creator>
  <cp:keywords/>
  <dc:description/>
  <cp:lastModifiedBy>zw3260</cp:lastModifiedBy>
  <cp:revision>6</cp:revision>
  <dcterms:created xsi:type="dcterms:W3CDTF">2026-08-04T16:57:00Z</dcterms:created>
  <dcterms:modified xsi:type="dcterms:W3CDTF">2026-08-06T02:04:00Z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e699e96a-1357-459a-9b11-6b6a54a1b6c7</vt:lpwstr>
  </property>
</Properties>
</file>