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b/>
          <w:bCs/>
        </w:rPr>
      </w:pPr>
    </w:p>
    <w:p w14:paraId="55DF0118" w14:textId="1B0041DA" w:rsidR="009E253F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0B8" w14:textId="14078ED4" w:rsidR="00AF3528" w:rsidRDefault="00AF3528">
      <w:pPr>
        <w:rPr>
          <w:b/>
          <w:bCs/>
        </w:rPr>
      </w:pPr>
      <w:r>
        <w:rPr>
          <w:b/>
          <w:bCs/>
        </w:rPr>
        <w:t>4/30/2026</w:t>
      </w:r>
    </w:p>
    <w:p w14:paraId="53ADCB83" w14:textId="716A2755" w:rsidR="00AF3528" w:rsidRPr="002F63DF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Convex hull</w:t>
      </w:r>
      <w:r w:rsidR="002F63DF">
        <w:rPr>
          <w:b/>
          <w:bCs/>
        </w:rPr>
        <w:t xml:space="preserve"> formed by trials of stims</w:t>
      </w:r>
      <w:r w:rsidRPr="002F63DF">
        <w:rPr>
          <w:b/>
          <w:bCs/>
        </w:rPr>
        <w:t>: stimPair wise or the all 50 stims</w:t>
      </w:r>
    </w:p>
    <w:p w14:paraId="05DA4D87" w14:textId="2F7B7D3F" w:rsidR="00AF3528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 xml:space="preserve">Some numbers and tests for the </w:t>
      </w:r>
      <w:r w:rsidR="002F63DF" w:rsidRPr="002F63DF">
        <w:rPr>
          <w:b/>
          <w:bCs/>
        </w:rPr>
        <w:t>non-affine</w:t>
      </w:r>
      <w:r w:rsidRPr="002F63DF">
        <w:rPr>
          <w:b/>
          <w:bCs/>
        </w:rPr>
        <w:t xml:space="preserve"> difference</w:t>
      </w:r>
      <w:r w:rsidR="002F63DF" w:rsidRPr="002F63DF">
        <w:rPr>
          <w:b/>
          <w:bCs/>
        </w:rPr>
        <w:t>: now the difference is computed. We can also compute delta (A-B) / mean (A &amp; B). Take the average over monkeys and areas?</w:t>
      </w:r>
    </w:p>
    <w:p w14:paraId="3027508E" w14:textId="77777777" w:rsidR="002F63DF" w:rsidRPr="002F63DF" w:rsidRDefault="002F63DF" w:rsidP="002F63DF">
      <w:pPr>
        <w:rPr>
          <w:b/>
          <w:bCs/>
        </w:rPr>
      </w:pPr>
    </w:p>
    <w:p w14:paraId="202B863E" w14:textId="1CCAE025" w:rsidR="002F63DF" w:rsidRPr="002F63DF" w:rsidRDefault="002F63DF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Simple geo metrics</w:t>
      </w:r>
    </w:p>
    <w:p w14:paraId="1D13EB03" w14:textId="40C9BC2F" w:rsidR="002F63DF" w:rsidRDefault="002F63DF">
      <w:pPr>
        <w:rPr>
          <w:b/>
          <w:bCs/>
        </w:rPr>
      </w:pPr>
      <w:r>
        <w:rPr>
          <w:b/>
          <w:bCs/>
        </w:rPr>
        <w:t>&amp;</w:t>
      </w:r>
    </w:p>
    <w:p w14:paraId="6FEACD81" w14:textId="6CE6ACE2" w:rsidR="00AF3528" w:rsidRDefault="00AF3528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68833C7B" wp14:editId="296FA11F">
            <wp:extent cx="2297927" cy="1822138"/>
            <wp:effectExtent l="0" t="0" r="7620" b="6985"/>
            <wp:docPr id="9765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E0B2" w14:textId="6D7B50A8" w:rsidR="00567907" w:rsidRDefault="00567907">
      <w:pPr>
        <w:rPr>
          <w:b/>
          <w:bCs/>
        </w:rPr>
      </w:pPr>
      <w:r>
        <w:rPr>
          <w:b/>
          <w:bCs/>
        </w:rPr>
        <w:lastRenderedPageBreak/>
        <w:t xml:space="preserve">Angles in EX vs. </w:t>
      </w:r>
      <w:r w:rsidR="002F63DF">
        <w:rPr>
          <w:b/>
          <w:bCs/>
        </w:rPr>
        <w:t>angles</w:t>
      </w:r>
      <w:r>
        <w:rPr>
          <w:b/>
          <w:bCs/>
        </w:rPr>
        <w:t xml:space="preserve"> in EC: what is the correlation? What is the null?</w:t>
      </w:r>
    </w:p>
    <w:p w14:paraId="795903AB" w14:textId="70B948ED" w:rsidR="00891084" w:rsidRDefault="00891084">
      <w:pPr>
        <w:rPr>
          <w:b/>
          <w:bCs/>
        </w:rPr>
      </w:pPr>
    </w:p>
    <w:p w14:paraId="313A0B95" w14:textId="645039CB" w:rsidR="00891084" w:rsidRDefault="00891084">
      <w:pPr>
        <w:rPr>
          <w:b/>
          <w:bCs/>
        </w:rPr>
      </w:pPr>
      <w:r>
        <w:rPr>
          <w:b/>
          <w:bCs/>
        </w:rPr>
        <w:t>5/28/2026</w:t>
      </w:r>
    </w:p>
    <w:p w14:paraId="6F1EC521" w14:textId="1EA30F0D" w:rsidR="00891084" w:rsidRDefault="00891084">
      <w:pPr>
        <w:rPr>
          <w:b/>
          <w:bCs/>
        </w:rPr>
      </w:pPr>
      <w:r>
        <w:rPr>
          <w:b/>
          <w:bCs/>
        </w:rPr>
        <w:t>1. triplets (4,5 or 50-plets) of stimuli, take the most outward (compared to the centroid or the clouds of other stimuli) trial points, does the geometry of these outliers remain more preserved across renderings?</w:t>
      </w:r>
    </w:p>
    <w:p w14:paraId="3CFF2CE2" w14:textId="64935A30" w:rsidR="00891084" w:rsidRDefault="00891084">
      <w:pPr>
        <w:rPr>
          <w:b/>
          <w:bCs/>
        </w:rPr>
      </w:pPr>
      <w:r>
        <w:rPr>
          <w:b/>
          <w:bCs/>
        </w:rPr>
        <w:t>2. Measure the geometry of angles that correspond to the covariance direction.</w:t>
      </w:r>
    </w:p>
    <w:p w14:paraId="274639F0" w14:textId="782C4738" w:rsidR="00AF3528" w:rsidRDefault="00891084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55B5359D" wp14:editId="23D6B50F">
            <wp:extent cx="2297927" cy="1822138"/>
            <wp:effectExtent l="0" t="0" r="7620" b="6985"/>
            <wp:docPr id="149187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45F3" w14:textId="5987DA14" w:rsidR="00891084" w:rsidRPr="000D74AC" w:rsidRDefault="00891084">
      <w:pPr>
        <w:rPr>
          <w:b/>
          <w:bCs/>
        </w:rPr>
      </w:pPr>
      <w:r>
        <w:rPr>
          <w:b/>
          <w:bCs/>
        </w:rPr>
        <w:t>3. Compare Gabor and neurons with increasing predictors and report the intrinsic dimensions.</w:t>
      </w:r>
    </w:p>
    <w:sectPr w:rsidR="00891084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06899" w14:textId="77777777" w:rsidR="003F1328" w:rsidRDefault="003F1328" w:rsidP="00891084">
      <w:pPr>
        <w:spacing w:after="0" w:line="240" w:lineRule="auto"/>
      </w:pPr>
      <w:r>
        <w:separator/>
      </w:r>
    </w:p>
  </w:endnote>
  <w:endnote w:type="continuationSeparator" w:id="0">
    <w:p w14:paraId="75D086FD" w14:textId="77777777" w:rsidR="003F1328" w:rsidRDefault="003F1328" w:rsidP="00891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A5EBA" w14:textId="77777777" w:rsidR="003F1328" w:rsidRDefault="003F1328" w:rsidP="00891084">
      <w:pPr>
        <w:spacing w:after="0" w:line="240" w:lineRule="auto"/>
      </w:pPr>
      <w:r>
        <w:separator/>
      </w:r>
    </w:p>
  </w:footnote>
  <w:footnote w:type="continuationSeparator" w:id="0">
    <w:p w14:paraId="263EC799" w14:textId="77777777" w:rsidR="003F1328" w:rsidRDefault="003F1328" w:rsidP="00891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1143E"/>
    <w:multiLevelType w:val="hybridMultilevel"/>
    <w:tmpl w:val="B7A4A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4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42A1E"/>
    <w:rsid w:val="00294B0C"/>
    <w:rsid w:val="002F63DF"/>
    <w:rsid w:val="00362080"/>
    <w:rsid w:val="003F1328"/>
    <w:rsid w:val="00423EE5"/>
    <w:rsid w:val="004D7A41"/>
    <w:rsid w:val="00567907"/>
    <w:rsid w:val="007555C0"/>
    <w:rsid w:val="00795969"/>
    <w:rsid w:val="00891084"/>
    <w:rsid w:val="008A74CB"/>
    <w:rsid w:val="008D14A3"/>
    <w:rsid w:val="009546D6"/>
    <w:rsid w:val="009E253F"/>
    <w:rsid w:val="00A6034D"/>
    <w:rsid w:val="00AF3528"/>
    <w:rsid w:val="00BB3A7D"/>
    <w:rsid w:val="00BD73D8"/>
    <w:rsid w:val="00C347D2"/>
    <w:rsid w:val="00C70579"/>
    <w:rsid w:val="00CC2CAD"/>
    <w:rsid w:val="00DD3FCB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3528"/>
  </w:style>
  <w:style w:type="character" w:customStyle="1" w:styleId="DateChar">
    <w:name w:val="Date Char"/>
    <w:basedOn w:val="DefaultParagraphFont"/>
    <w:link w:val="Date"/>
    <w:uiPriority w:val="99"/>
    <w:semiHidden/>
    <w:rsid w:val="00AF3528"/>
  </w:style>
  <w:style w:type="paragraph" w:styleId="Header">
    <w:name w:val="header"/>
    <w:basedOn w:val="Normal"/>
    <w:link w:val="Head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084"/>
  </w:style>
  <w:style w:type="paragraph" w:styleId="Footer">
    <w:name w:val="footer"/>
    <w:basedOn w:val="Normal"/>
    <w:link w:val="Foot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0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10830</TotalTime>
  <Pages>5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12</cp:revision>
  <dcterms:created xsi:type="dcterms:W3CDTF">2026-03-20T00:32:00Z</dcterms:created>
  <dcterms:modified xsi:type="dcterms:W3CDTF">2026-05-29T02:16:00Z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