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F3760" w14:textId="207F821E" w:rsidR="00C62541" w:rsidRPr="00C62541" w:rsidRDefault="00C62541">
      <w:pPr>
        <w:rPr>
          <w:b/>
          <w:bCs/>
        </w:rPr>
      </w:pPr>
      <w:r w:rsidRPr="00C62541">
        <w:rPr>
          <w:b/>
          <w:bCs/>
        </w:rPr>
        <w:t>1. Comparison between neurons and Gabor filters</w:t>
      </w:r>
    </w:p>
    <w:p w14:paraId="66DE5364" w14:textId="67902383" w:rsidR="002A203D" w:rsidRDefault="00C62541">
      <w:r w:rsidRPr="00C62541">
        <w:t>The paper notes that Gabor models lack single-neuron tuning invariance (lines 875-876</w:t>
      </w:r>
      <w:proofErr w:type="gramStart"/>
      <w:r w:rsidRPr="00C62541">
        <w:t>), but</w:t>
      </w:r>
      <w:proofErr w:type="gramEnd"/>
      <w:r w:rsidRPr="00C62541">
        <w:t xml:space="preserve"> should sharpen this by statistically comparing neural versus Gabor PT decoding at matched population sizes and reporting intrinsic dimensionality (e.g., participation ratio) for both. If neural manifolds achieve comparable invariance in fewer effective dimensions, this </w:t>
      </w:r>
      <w:proofErr w:type="gramStart"/>
      <w:r w:rsidRPr="00C62541">
        <w:t>would</w:t>
      </w:r>
      <w:proofErr w:type="gramEnd"/>
      <w:r w:rsidRPr="00C62541">
        <w:t xml:space="preserve"> distinguish the biological finding from a generic filter-bank property.</w:t>
      </w:r>
    </w:p>
    <w:p w14:paraId="6A69B663" w14:textId="77777777" w:rsidR="00C62541" w:rsidRPr="00C62541" w:rsidRDefault="00C62541" w:rsidP="00C62541">
      <w:r w:rsidRPr="00C62541">
        <w:rPr>
          <w:b/>
          <w:bCs/>
        </w:rPr>
        <w:t>AI explanation</w:t>
      </w:r>
      <w:r>
        <w:t xml:space="preserve">: </w:t>
      </w:r>
      <w:proofErr w:type="gramStart"/>
      <w:r w:rsidRPr="00C62541">
        <w:t>he</w:t>
      </w:r>
      <w:proofErr w:type="gramEnd"/>
      <w:r w:rsidRPr="00C62541">
        <w:t xml:space="preserve"> reviewer is pointing at a real gap in the argument, and the dimensionality comparison is what closes it. Here's the logic.</w:t>
      </w:r>
    </w:p>
    <w:p w14:paraId="7486F00B" w14:textId="77777777" w:rsidR="00C62541" w:rsidRPr="00C62541" w:rsidRDefault="00C62541" w:rsidP="00C62541">
      <w:r w:rsidRPr="00C62541">
        <w:t xml:space="preserve">Right </w:t>
      </w:r>
      <w:proofErr w:type="gramStart"/>
      <w:r w:rsidRPr="00C62541">
        <w:t>now</w:t>
      </w:r>
      <w:proofErr w:type="gramEnd"/>
      <w:r w:rsidRPr="00C62541">
        <w:t xml:space="preserve"> the paper has shown that PT-invariant geometry exists in both neural and Gabor populations. That's a problem because </w:t>
      </w:r>
      <w:r w:rsidRPr="00C62541">
        <w:rPr>
          <w:b/>
          <w:bCs/>
        </w:rPr>
        <w:t>invariance is cheap</w:t>
      </w:r>
      <w:r w:rsidRPr="00C62541">
        <w:t xml:space="preserve"> — any sufficiently rich, stimulus-faithful encoding will preserve enough geometric structure across the three renderings for PT to align it. A Gabor bank doesn't "know" anything about cue invariance; it just preserves enough of the image content that the cross-rendering geometry survives. So "geometric invariance exists in V1/V2" stops being a biological claim about what the cortex </w:t>
      </w:r>
      <w:r w:rsidRPr="00C62541">
        <w:rPr>
          <w:i/>
          <w:iCs/>
        </w:rPr>
        <w:t>computes</w:t>
      </w:r>
      <w:r w:rsidRPr="00C62541">
        <w:t xml:space="preserve"> and becomes a claim about what </w:t>
      </w:r>
      <w:r w:rsidRPr="00C62541">
        <w:rPr>
          <w:i/>
          <w:iCs/>
        </w:rPr>
        <w:t>any</w:t>
      </w:r>
      <w:r w:rsidRPr="00C62541">
        <w:t xml:space="preserve"> reasonable encoder would produce. That's the bind Reviewer #2 is putting you in.</w:t>
      </w:r>
    </w:p>
    <w:p w14:paraId="77B3CE67" w14:textId="77777777" w:rsidR="00C62541" w:rsidRPr="00C62541" w:rsidRDefault="00C62541" w:rsidP="00C62541">
      <w:r w:rsidRPr="00C62541">
        <w:t xml:space="preserve">The way out is to argue not from existence but from </w:t>
      </w:r>
      <w:r w:rsidRPr="00C62541">
        <w:rPr>
          <w:b/>
          <w:bCs/>
        </w:rPr>
        <w:t>efficiency</w:t>
      </w:r>
      <w:r w:rsidRPr="00C62541">
        <w:t xml:space="preserve">. Biology operates under constraints — limited neurons, metabolic cost, finite channel capacity. If the cortex achieves the </w:t>
      </w:r>
      <w:r w:rsidRPr="00C62541">
        <w:rPr>
          <w:i/>
          <w:iCs/>
        </w:rPr>
        <w:t>same</w:t>
      </w:r>
      <w:r w:rsidRPr="00C62541">
        <w:t xml:space="preserve"> PT-invariant structure as a Gabor bank but with a </w:t>
      </w:r>
      <w:r w:rsidRPr="00C62541">
        <w:rPr>
          <w:i/>
          <w:iCs/>
        </w:rPr>
        <w:t>more compressed</w:t>
      </w:r>
      <w:r w:rsidRPr="00C62541">
        <w:t xml:space="preserve"> representation, that's a non-trivial computation: the brain has thrown away dimensions that the filter bank keeps, while retaining the invariant geometry. That conversion from "the brain has cue-invariant geometry" to "the brain has cue-invariant geometry in a more compressed code than passive filtering produces" is the distinguishing biological signature.</w:t>
      </w:r>
    </w:p>
    <w:p w14:paraId="480241B9" w14:textId="77777777" w:rsidR="00C62541" w:rsidRPr="00C62541" w:rsidRDefault="00C62541" w:rsidP="00C62541">
      <w:r w:rsidRPr="00C62541">
        <w:t>This is why dimensionality is the right second axis. Participation ratio — PR = (</w:t>
      </w:r>
      <w:proofErr w:type="spellStart"/>
      <w:r w:rsidRPr="00C62541">
        <w:t>Σλ</w:t>
      </w:r>
      <w:proofErr w:type="spellEnd"/>
      <w:proofErr w:type="gramStart"/>
      <w:r w:rsidRPr="00C62541">
        <w:rPr>
          <w:rFonts w:ascii="Arial" w:hAnsi="Arial" w:cs="Arial"/>
        </w:rPr>
        <w:t>ᵢ</w:t>
      </w:r>
      <w:r w:rsidRPr="00C62541">
        <w:t>)²</w:t>
      </w:r>
      <w:proofErr w:type="gramEnd"/>
      <w:r w:rsidRPr="00C62541">
        <w:t xml:space="preserve"> / Σλ</w:t>
      </w:r>
      <w:r w:rsidRPr="00C62541">
        <w:rPr>
          <w:rFonts w:ascii="Arial" w:hAnsi="Arial" w:cs="Arial"/>
        </w:rPr>
        <w:t>ᵢ</w:t>
      </w:r>
      <w:r w:rsidRPr="00C62541">
        <w:t>² over the stimulus covariance eigenvalues — gives a single, scale-invariant number for "effective dimensionality." It's the standard measure in this literature (Gao &amp; Ganguli, Litwin-Kumar, Stringer/</w:t>
      </w:r>
      <w:proofErr w:type="spellStart"/>
      <w:r w:rsidRPr="00C62541">
        <w:t>Pachitariu</w:t>
      </w:r>
      <w:proofErr w:type="spellEnd"/>
      <w:r w:rsidRPr="00C62541">
        <w:t xml:space="preserve">) and doesn't require picking a variance threshold. Computed on trial-averaged responses to the 50 stimuli, it asks: across these stimuli, how many dimensions does the population </w:t>
      </w:r>
      <w:proofErr w:type="gramStart"/>
      <w:r w:rsidRPr="00C62541">
        <w:t>actually use</w:t>
      </w:r>
      <w:proofErr w:type="gramEnd"/>
      <w:r w:rsidRPr="00C62541">
        <w:t>?</w:t>
      </w:r>
    </w:p>
    <w:p w14:paraId="19A03D3C" w14:textId="77777777" w:rsidR="00C62541" w:rsidRPr="00C62541" w:rsidRDefault="00C62541" w:rsidP="00C62541">
      <w:r w:rsidRPr="00C62541">
        <w:t>The fair comparison is then a 2D plot or table: PT-decoding accuracy on the y-axis, PR on the x-axis, with neural points and Gabor points at matched population sizes. Three outcomes are possible, and they're all interpretable:</w:t>
      </w:r>
    </w:p>
    <w:p w14:paraId="3359F745" w14:textId="77777777" w:rsidR="00C62541" w:rsidRPr="00C62541" w:rsidRDefault="00C62541" w:rsidP="00C62541">
      <w:pPr>
        <w:numPr>
          <w:ilvl w:val="0"/>
          <w:numId w:val="1"/>
        </w:numPr>
      </w:pPr>
      <w:r w:rsidRPr="00C62541">
        <w:rPr>
          <w:b/>
          <w:bCs/>
        </w:rPr>
        <w:lastRenderedPageBreak/>
        <w:t>Neural PR &lt; Gabor PR at matched PT accuracy</w:t>
      </w:r>
      <w:r w:rsidRPr="00C62541">
        <w:t xml:space="preserve"> → the cortex achieves comparable invariance in a lower-dimensional code. This is the result that distinguishes biology from filtering and gives the paper its missing punch.</w:t>
      </w:r>
    </w:p>
    <w:p w14:paraId="1D6FEF0E" w14:textId="77777777" w:rsidR="00C62541" w:rsidRPr="00C62541" w:rsidRDefault="00C62541" w:rsidP="00C62541">
      <w:pPr>
        <w:numPr>
          <w:ilvl w:val="0"/>
          <w:numId w:val="1"/>
        </w:numPr>
      </w:pPr>
      <w:r w:rsidRPr="00C62541">
        <w:rPr>
          <w:b/>
          <w:bCs/>
        </w:rPr>
        <w:t>Neural PR ≈ Gabor PR at matched PT accuracy</w:t>
      </w:r>
      <w:r w:rsidRPr="00C62541">
        <w:t xml:space="preserve"> → the cortex isn't doing dimensional compression beyond what filtering provides. You'd need a different distinguishing feature (noise robustness? layer specificity? speed of emergence?).</w:t>
      </w:r>
    </w:p>
    <w:p w14:paraId="6A32AF85" w14:textId="77777777" w:rsidR="00C62541" w:rsidRPr="00C62541" w:rsidRDefault="00C62541" w:rsidP="00C62541">
      <w:pPr>
        <w:numPr>
          <w:ilvl w:val="0"/>
          <w:numId w:val="1"/>
        </w:numPr>
      </w:pPr>
      <w:r w:rsidRPr="00C62541">
        <w:rPr>
          <w:b/>
          <w:bCs/>
        </w:rPr>
        <w:t>Neural PR &gt; Gabor PR at matched PT accuracy</w:t>
      </w:r>
      <w:r w:rsidRPr="00C62541">
        <w:t xml:space="preserve"> → </w:t>
      </w:r>
      <w:proofErr w:type="gramStart"/>
      <w:r w:rsidRPr="00C62541">
        <w:t>unexpected, and</w:t>
      </w:r>
      <w:proofErr w:type="gramEnd"/>
      <w:r w:rsidRPr="00C62541">
        <w:t xml:space="preserve"> would invite a real rethink.</w:t>
      </w:r>
    </w:p>
    <w:p w14:paraId="35846D70" w14:textId="77777777" w:rsidR="00C62541" w:rsidRPr="00C62541" w:rsidRDefault="00C62541" w:rsidP="00C62541">
      <w:r w:rsidRPr="00C62541">
        <w:t xml:space="preserve">The point is that all three are publishable findings — what matters is that the test can </w:t>
      </w:r>
      <w:proofErr w:type="gramStart"/>
      <w:r w:rsidRPr="00C62541">
        <w:t>actually fail</w:t>
      </w:r>
      <w:proofErr w:type="gramEnd"/>
      <w:r w:rsidRPr="00C62541">
        <w:t xml:space="preserve">, which is what your current Gabor comparison doesn't quite let do. Right </w:t>
      </w:r>
      <w:proofErr w:type="gramStart"/>
      <w:r w:rsidRPr="00C62541">
        <w:t>now</w:t>
      </w:r>
      <w:proofErr w:type="gramEnd"/>
      <w:r w:rsidRPr="00C62541">
        <w:t xml:space="preserve"> Fig. 15 says "Gabors do it too, but with higher self-decoding." That's a vague distinction. PR converts it into a quantitative axis along which you can claim the brain operates differently — or honestly acknowledge that it doesn't, in which case the contribution becomes "we identified a generic geometric property that the cortex shares with passive filtering," which is still a contribution but a different one.</w:t>
      </w:r>
    </w:p>
    <w:p w14:paraId="34673FA6" w14:textId="77777777" w:rsidR="00C62541" w:rsidRPr="00C62541" w:rsidRDefault="00C62541" w:rsidP="00C62541">
      <w:r w:rsidRPr="00C62541">
        <w:t>The matched-population-size requirement is just the obvious confound control: you already showed PT accuracy scales with N (Fig. 4d for CNNs), so comparing 150 neurons against 1000 Gabors loads the dice. Sampling Gabor populations at N = 150, 250, 400... and reading PR and PT accuracy off each is the clean version.</w:t>
      </w:r>
    </w:p>
    <w:p w14:paraId="78019499" w14:textId="77777777" w:rsidR="00C62541" w:rsidRPr="00C62541" w:rsidRDefault="00C62541" w:rsidP="00C62541">
      <w:r w:rsidRPr="00C62541">
        <w:t>Two practical notes if you decide to run this:</w:t>
      </w:r>
    </w:p>
    <w:p w14:paraId="6FAEB4DB" w14:textId="77777777" w:rsidR="00C62541" w:rsidRPr="00C62541" w:rsidRDefault="00C62541" w:rsidP="00C62541">
      <w:r w:rsidRPr="00C62541">
        <w:t>PR computed from 50 stimuli is upper-bounded near 50, so both populations are evaluated against the same ceiling — good, no nuisance there. Single-trial PR (which includes noise) tells a different story than trial-averaged PR (stimulus-only); the reviewer's question is about stimulus dimensionality, so trial-averaged is what you want. And if you want to push further, you can decompose: how much of each population's variance lives in cue-invariant subspaces (preserved across renderings) vs. cue-specific subspaces? Lower-dimensional invariant subspaces in the neural data vs. Gabors would be even sharper evidence.</w:t>
      </w:r>
    </w:p>
    <w:p w14:paraId="626D0ABB" w14:textId="1C5D1864" w:rsidR="00C62541" w:rsidRDefault="00C62541"/>
    <w:sectPr w:rsidR="00C625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10E5C"/>
    <w:multiLevelType w:val="multilevel"/>
    <w:tmpl w:val="201E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012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E80"/>
    <w:rsid w:val="001A0A71"/>
    <w:rsid w:val="002A203D"/>
    <w:rsid w:val="00316E80"/>
    <w:rsid w:val="00634ADA"/>
    <w:rsid w:val="00703177"/>
    <w:rsid w:val="00C62541"/>
    <w:rsid w:val="00CD6031"/>
    <w:rsid w:val="00E45E05"/>
    <w:rsid w:val="00EE5C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6B0FA"/>
  <w15:chartTrackingRefBased/>
  <w15:docId w15:val="{A2763B3C-8D29-4FB5-A4E3-6E8B89FFC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E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E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E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E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E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E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E80"/>
    <w:rPr>
      <w:rFonts w:eastAsiaTheme="majorEastAsia" w:cstheme="majorBidi"/>
      <w:color w:val="272727" w:themeColor="text1" w:themeTint="D8"/>
    </w:rPr>
  </w:style>
  <w:style w:type="paragraph" w:styleId="Title">
    <w:name w:val="Title"/>
    <w:basedOn w:val="Normal"/>
    <w:next w:val="Normal"/>
    <w:link w:val="TitleChar"/>
    <w:uiPriority w:val="10"/>
    <w:qFormat/>
    <w:rsid w:val="00316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E80"/>
    <w:pPr>
      <w:spacing w:before="160"/>
      <w:jc w:val="center"/>
    </w:pPr>
    <w:rPr>
      <w:i/>
      <w:iCs/>
      <w:color w:val="404040" w:themeColor="text1" w:themeTint="BF"/>
    </w:rPr>
  </w:style>
  <w:style w:type="character" w:customStyle="1" w:styleId="QuoteChar">
    <w:name w:val="Quote Char"/>
    <w:basedOn w:val="DefaultParagraphFont"/>
    <w:link w:val="Quote"/>
    <w:uiPriority w:val="29"/>
    <w:rsid w:val="00316E80"/>
    <w:rPr>
      <w:i/>
      <w:iCs/>
      <w:color w:val="404040" w:themeColor="text1" w:themeTint="BF"/>
    </w:rPr>
  </w:style>
  <w:style w:type="paragraph" w:styleId="ListParagraph">
    <w:name w:val="List Paragraph"/>
    <w:basedOn w:val="Normal"/>
    <w:uiPriority w:val="34"/>
    <w:qFormat/>
    <w:rsid w:val="00316E80"/>
    <w:pPr>
      <w:ind w:left="720"/>
      <w:contextualSpacing/>
    </w:pPr>
  </w:style>
  <w:style w:type="character" w:styleId="IntenseEmphasis">
    <w:name w:val="Intense Emphasis"/>
    <w:basedOn w:val="DefaultParagraphFont"/>
    <w:uiPriority w:val="21"/>
    <w:qFormat/>
    <w:rsid w:val="00316E80"/>
    <w:rPr>
      <w:i/>
      <w:iCs/>
      <w:color w:val="0F4761" w:themeColor="accent1" w:themeShade="BF"/>
    </w:rPr>
  </w:style>
  <w:style w:type="paragraph" w:styleId="IntenseQuote">
    <w:name w:val="Intense Quote"/>
    <w:basedOn w:val="Normal"/>
    <w:next w:val="Normal"/>
    <w:link w:val="IntenseQuoteChar"/>
    <w:uiPriority w:val="30"/>
    <w:qFormat/>
    <w:rsid w:val="00316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E80"/>
    <w:rPr>
      <w:i/>
      <w:iCs/>
      <w:color w:val="0F4761" w:themeColor="accent1" w:themeShade="BF"/>
    </w:rPr>
  </w:style>
  <w:style w:type="character" w:styleId="IntenseReference">
    <w:name w:val="Intense Reference"/>
    <w:basedOn w:val="DefaultParagraphFont"/>
    <w:uiPriority w:val="32"/>
    <w:qFormat/>
    <w:rsid w:val="00316E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707</Words>
  <Characters>4035</Characters>
  <Application>Microsoft Office Word</Application>
  <DocSecurity>0</DocSecurity>
  <Lines>33</Lines>
  <Paragraphs>9</Paragraphs>
  <ScaleCrop>false</ScaleCrop>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Zitong</dc:creator>
  <cp:keywords/>
  <dc:description/>
  <cp:lastModifiedBy>Wang, Zitong</cp:lastModifiedBy>
  <cp:revision>2</cp:revision>
  <dcterms:created xsi:type="dcterms:W3CDTF">2026-05-15T18:21:00Z</dcterms:created>
  <dcterms:modified xsi:type="dcterms:W3CDTF">2026-05-15T18:24:00Z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db7cc949-bb89-48cb-9e76-c71e7760236b</vt:lpwstr>
  </property>
</Properties>
</file>