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LiteRAG 产品需求说明</w:t>
      </w:r>
    </w:p>
    <w:p>
      <w:r>
        <w:t>本文档描述 LiteRAG 知识库系统的产品定位、功能范围与验收标准，用于指导研发与测试工作。</w:t>
      </w:r>
    </w:p>
    <w:p>
      <w:pPr>
        <w:pStyle w:val="Heading2"/>
      </w:pPr>
      <w:r>
        <w:t>一、产品定位</w:t>
      </w:r>
    </w:p>
    <w:p>
      <w:r>
        <w:t>LiteRAG 面向企业内部知识管理场景，把散落在 Word、PDF、Excel 中的非结构化内容转化为可被大模型检索引用的知识片段。系统强调部署轻量、接入简单，单机即可完成从文档上传到语义检索的全过程。</w:t>
      </w:r>
    </w:p>
    <w:p>
      <w:pPr>
        <w:pStyle w:val="Heading2"/>
      </w:pPr>
      <w:r>
        <w:t>二、功能需求</w:t>
      </w:r>
    </w:p>
    <w:p>
      <w:r>
        <w:t>1. 文档管理：支持 docx、pdf、xlsx、pptx、markdown 等格式上传，自动解析并分块入库。</w:t>
      </w:r>
    </w:p>
    <w:p>
      <w:r>
        <w:t>2. 知识库隔离：不同业务域使用独立知识库，各自绑定独立的向量集合与 Embedding 模型。</w:t>
      </w:r>
    </w:p>
    <w:p>
      <w:r>
        <w:t>3. 检索能力：支持按相似度阈值过滤、按知识库范围过滤、按文档过滤，返回带得分的原文片段。</w:t>
      </w:r>
    </w:p>
    <w:p>
      <w:r>
        <w:t>4. 模型配置：支持任意 OpenAI 兼容接口与本地 Ollama，可在线测试连通性与向量维度。</w:t>
      </w:r>
    </w:p>
    <w:p>
      <w:r>
        <w:t>5. MCP 服务：通过 Model Context Protocol 向外部 AI 客户端提供知识检索工具。</w:t>
      </w:r>
    </w:p>
    <w:p>
      <w:pPr>
        <w:pStyle w:val="Heading2"/>
      </w:pPr>
      <w:r>
        <w:t>三、性能指标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目标值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单文件解析耗时</w:t>
            </w:r>
          </w:p>
        </w:tc>
        <w:tc>
          <w:tcPr>
            <w:tcW w:type="dxa" w:w="2880"/>
          </w:tcPr>
          <w:p>
            <w:r>
              <w:t>小于 10 秒</w:t>
            </w:r>
          </w:p>
        </w:tc>
        <w:tc>
          <w:tcPr>
            <w:tcW w:type="dxa" w:w="2880"/>
          </w:tcPr>
          <w:p>
            <w:r>
              <w:t>10MB 以内的 docx 文档</w:t>
            </w:r>
          </w:p>
        </w:tc>
      </w:tr>
      <w:tr>
        <w:tc>
          <w:tcPr>
            <w:tcW w:type="dxa" w:w="2880"/>
          </w:tcPr>
          <w:p>
            <w:r>
              <w:t>检索响应时间</w:t>
            </w:r>
          </w:p>
        </w:tc>
        <w:tc>
          <w:tcPr>
            <w:tcW w:type="dxa" w:w="2880"/>
          </w:tcPr>
          <w:p>
            <w:r>
              <w:t>小于 200 毫秒</w:t>
            </w:r>
          </w:p>
        </w:tc>
        <w:tc>
          <w:tcPr>
            <w:tcW w:type="dxa" w:w="2880"/>
          </w:tcPr>
          <w:p>
            <w:r>
              <w:t>单知识库 10 万片段以内</w:t>
            </w:r>
          </w:p>
        </w:tc>
      </w:tr>
      <w:tr>
        <w:tc>
          <w:tcPr>
            <w:tcW w:type="dxa" w:w="2880"/>
          </w:tcPr>
          <w:p>
            <w:r>
              <w:t>并发上传</w:t>
            </w:r>
          </w:p>
        </w:tc>
        <w:tc>
          <w:tcPr>
            <w:tcW w:type="dxa" w:w="2880"/>
          </w:tcPr>
          <w:p>
            <w:r>
              <w:t>20 个文件</w:t>
            </w:r>
          </w:p>
        </w:tc>
        <w:tc>
          <w:tcPr>
            <w:tcW w:type="dxa" w:w="2880"/>
          </w:tcPr>
          <w:p>
            <w:r>
              <w:t>单次请求上限</w:t>
            </w:r>
          </w:p>
        </w:tc>
      </w:tr>
    </w:tbl>
    <w:p>
      <w:pPr>
        <w:pStyle w:val="Heading2"/>
      </w:pPr>
      <w:r>
        <w:t>四、验收标准</w:t>
      </w:r>
    </w:p>
    <w:p>
      <w:r>
        <w:t>上传一份 20 页的产品手册后，使用自然语言提问，系统应召回至少一条相关片段，并在回答中给出准确的来源编号。检索结果的相关性由产品经理人工评估，前三条命中率需达到 80% 以上。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