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8C8" w:rsidRDefault="004C68C8" w:rsidP="00434BAD">
      <w:r>
        <w:rPr>
          <w:rFonts w:hint="eastAsia"/>
          <w:noProof/>
        </w:rPr>
        <w:drawing>
          <wp:inline distT="0" distB="0" distL="0" distR="0">
            <wp:extent cx="5943600" cy="4320540"/>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15 at 6.25.4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20540"/>
                    </a:xfrm>
                    <a:prstGeom prst="rect">
                      <a:avLst/>
                    </a:prstGeom>
                  </pic:spPr>
                </pic:pic>
              </a:graphicData>
            </a:graphic>
          </wp:inline>
        </w:drawing>
      </w:r>
    </w:p>
    <w:p w:rsidR="004C68C8" w:rsidRDefault="004C68C8" w:rsidP="00434BAD">
      <w:r>
        <w:t>(</w:t>
      </w:r>
      <w:proofErr w:type="spellStart"/>
      <w:r>
        <w:t>i</w:t>
      </w:r>
      <w:proofErr w:type="spellEnd"/>
      <w:r>
        <w:t>)</w:t>
      </w:r>
    </w:p>
    <w:p w:rsidR="004C68C8" w:rsidRDefault="004C68C8" w:rsidP="00434BAD">
      <w:r>
        <w:t xml:space="preserve">False. </w:t>
      </w:r>
    </w:p>
    <w:p w:rsidR="004A74F5" w:rsidRPr="00305764" w:rsidRDefault="004A74F5" w:rsidP="004A74F5">
      <w:r w:rsidRPr="00305764">
        <w:t>Two principal components Z1 and Z2 of the Principal Component Analysis have the zero-correlation condition. In other words, the second principal component direction must be perpendicular, or perpendicular orthogonal, to the first principal component direction.</w:t>
      </w:r>
    </w:p>
    <w:p w:rsidR="004A74F5" w:rsidRPr="00305764" w:rsidRDefault="004A74F5" w:rsidP="004A74F5">
      <w:r w:rsidRPr="00305764">
        <w:t>Partial Least Squares, use the annotated label to maximize inter-class variance. Principal components are pairwise orthogonal. Principal components are focus on maximize correlation.</w:t>
      </w:r>
    </w:p>
    <w:p w:rsidR="004A74F5" w:rsidRDefault="004A74F5" w:rsidP="00434BAD"/>
    <w:p w:rsidR="004C68C8" w:rsidRDefault="004C68C8" w:rsidP="00434BAD"/>
    <w:p w:rsidR="004C68C8" w:rsidRDefault="004C68C8" w:rsidP="00434BAD"/>
    <w:p w:rsidR="004C68C8" w:rsidRDefault="004C68C8" w:rsidP="00434BAD"/>
    <w:p w:rsidR="004C68C8" w:rsidRDefault="004C68C8" w:rsidP="00434BAD"/>
    <w:p w:rsidR="004C68C8" w:rsidRDefault="004C68C8" w:rsidP="00434BAD"/>
    <w:p w:rsidR="004C68C8" w:rsidRDefault="004C68C8" w:rsidP="00434BAD"/>
    <w:p w:rsidR="004C68C8" w:rsidRDefault="004C68C8" w:rsidP="00434BAD"/>
    <w:p w:rsidR="004C68C8" w:rsidRDefault="004C68C8" w:rsidP="00434BAD"/>
    <w:p w:rsidR="004C68C8" w:rsidRDefault="004C68C8" w:rsidP="00434BAD"/>
    <w:p w:rsidR="004C68C8" w:rsidRDefault="004C68C8" w:rsidP="00434BAD"/>
    <w:p w:rsidR="004C68C8" w:rsidRDefault="004C68C8" w:rsidP="00434BAD"/>
    <w:p w:rsidR="004C68C8" w:rsidRDefault="004C68C8" w:rsidP="00434BAD"/>
    <w:p w:rsidR="004C68C8" w:rsidRDefault="004C68C8" w:rsidP="00434BAD"/>
    <w:p w:rsidR="002608D0" w:rsidRDefault="002608D0" w:rsidP="00434BAD">
      <w:r>
        <w:rPr>
          <w:noProof/>
        </w:rPr>
        <w:lastRenderedPageBreak/>
        <w:drawing>
          <wp:inline distT="0" distB="0" distL="0" distR="0">
            <wp:extent cx="5943600" cy="167830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15 at 3.35.0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78305"/>
                    </a:xfrm>
                    <a:prstGeom prst="rect">
                      <a:avLst/>
                    </a:prstGeom>
                  </pic:spPr>
                </pic:pic>
              </a:graphicData>
            </a:graphic>
          </wp:inline>
        </w:drawing>
      </w:r>
    </w:p>
    <w:p w:rsidR="002608D0" w:rsidRDefault="002608D0" w:rsidP="00434BAD">
      <w:r>
        <w:rPr>
          <w:noProof/>
        </w:rPr>
        <w:drawing>
          <wp:inline distT="0" distB="0" distL="0" distR="0" wp14:anchorId="2A8C5660" wp14:editId="64DA6C8D">
            <wp:extent cx="5943600" cy="201549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15 at 3.35.17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15490"/>
                    </a:xfrm>
                    <a:prstGeom prst="rect">
                      <a:avLst/>
                    </a:prstGeom>
                  </pic:spPr>
                </pic:pic>
              </a:graphicData>
            </a:graphic>
          </wp:inline>
        </w:drawing>
      </w:r>
    </w:p>
    <w:p w:rsidR="002608D0" w:rsidRDefault="002608D0" w:rsidP="00434BAD">
      <w:r>
        <w:t>(</w:t>
      </w:r>
      <w:proofErr w:type="spellStart"/>
      <w:r>
        <w:t>i</w:t>
      </w:r>
      <w:proofErr w:type="spellEnd"/>
      <w:r>
        <w:t>)</w:t>
      </w:r>
    </w:p>
    <w:p w:rsidR="002608D0" w:rsidRPr="00963BFC" w:rsidRDefault="002608D0" w:rsidP="00434BAD">
      <m:oMathPara>
        <m:oMath>
          <m:r>
            <w:rPr>
              <w:rFonts w:ascii="Cambria Math" w:hAnsi="Cambria Math"/>
            </w:rPr>
            <m:t>P</m:t>
          </m:r>
          <m:d>
            <m:dPr>
              <m:ctrlPr>
                <w:rPr>
                  <w:rFonts w:ascii="Cambria Math" w:hAnsi="Cambria Math"/>
                  <w:i/>
                </w:rPr>
              </m:ctrlPr>
            </m:dPr>
            <m:e>
              <m:r>
                <w:rPr>
                  <w:rFonts w:ascii="Cambria Math" w:hAnsi="Cambria Math"/>
                </w:rPr>
                <m:t>x;p,n</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r>
                <w:rPr>
                  <w:rFonts w:ascii="Cambria Math" w:hAnsi="Cambria Math"/>
                </w:rPr>
                <m:t>(1-p)</m:t>
              </m:r>
            </m:e>
            <m:sup>
              <m:r>
                <w:rPr>
                  <w:rFonts w:ascii="Cambria Math" w:hAnsi="Cambria Math"/>
                </w:rPr>
                <m:t>n-x</m:t>
              </m:r>
            </m:sup>
          </m:sSup>
        </m:oMath>
      </m:oMathPara>
    </w:p>
    <w:p w:rsidR="00963BFC" w:rsidRPr="00963BFC" w:rsidRDefault="00963BFC" w:rsidP="00434BAD">
      <m:oMathPara>
        <m:oMath>
          <m:r>
            <w:rPr>
              <w:rFonts w:ascii="Cambria Math" w:hAnsi="Cambria Math" w:hint="eastAsia"/>
            </w:rPr>
            <m:t>E</m:t>
          </m:r>
          <m:d>
            <m:dPr>
              <m:ctrlPr>
                <w:rPr>
                  <w:rFonts w:ascii="Cambria Math" w:hAnsi="Cambria Math"/>
                  <w:i/>
                </w:rPr>
              </m:ctrlPr>
            </m:dPr>
            <m:e>
              <m:r>
                <w:rPr>
                  <w:rFonts w:ascii="Cambria Math" w:hAnsi="Cambria Math"/>
                </w:rPr>
                <m:t>Y</m:t>
              </m:r>
            </m:e>
          </m:d>
          <m:r>
            <w:rPr>
              <w:rFonts w:ascii="Cambria Math" w:hAnsi="Cambria Math"/>
            </w:rPr>
            <m:t>=np</m:t>
          </m:r>
        </m:oMath>
      </m:oMathPara>
    </w:p>
    <w:p w:rsidR="00963BFC" w:rsidRDefault="00963BFC" w:rsidP="00434BAD">
      <w:r>
        <w:rPr>
          <w:rFonts w:hint="eastAsia"/>
        </w:rPr>
        <w:t>(</w:t>
      </w:r>
      <w:r>
        <w:t>ii)</w:t>
      </w:r>
    </w:p>
    <w:p w:rsidR="00963BFC" w:rsidRDefault="004C68C8" w:rsidP="00434BAD">
      <w:r>
        <w:rPr>
          <w:rFonts w:hint="eastAsia"/>
          <w:noProof/>
        </w:rPr>
        <w:drawing>
          <wp:inline distT="0" distB="0" distL="0" distR="0">
            <wp:extent cx="2502440" cy="3613150"/>
            <wp:effectExtent l="0" t="0" r="0" b="0"/>
            <wp:docPr id="5" name="Picture 5"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05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9626" cy="3623525"/>
                    </a:xfrm>
                    <a:prstGeom prst="rect">
                      <a:avLst/>
                    </a:prstGeom>
                  </pic:spPr>
                </pic:pic>
              </a:graphicData>
            </a:graphic>
          </wp:inline>
        </w:drawing>
      </w:r>
    </w:p>
    <w:p w:rsidR="004C68C8" w:rsidRDefault="004C68C8" w:rsidP="004C68C8">
      <w:r>
        <w:rPr>
          <w:noProof/>
        </w:rPr>
        <w:lastRenderedPageBreak/>
        <w:drawing>
          <wp:inline distT="0" distB="0" distL="0" distR="0" wp14:anchorId="525ADE90" wp14:editId="03190BC3">
            <wp:extent cx="5649982" cy="2122365"/>
            <wp:effectExtent l="0" t="0" r="190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5 at 2.18.31 PM.png"/>
                    <pic:cNvPicPr/>
                  </pic:nvPicPr>
                  <pic:blipFill>
                    <a:blip r:embed="rId10">
                      <a:extLst>
                        <a:ext uri="{28A0092B-C50C-407E-A947-70E740481C1C}">
                          <a14:useLocalDpi xmlns:a14="http://schemas.microsoft.com/office/drawing/2010/main" val="0"/>
                        </a:ext>
                      </a:extLst>
                    </a:blip>
                    <a:stretch>
                      <a:fillRect/>
                    </a:stretch>
                  </pic:blipFill>
                  <pic:spPr>
                    <a:xfrm>
                      <a:off x="0" y="0"/>
                      <a:ext cx="5673049" cy="2131030"/>
                    </a:xfrm>
                    <a:prstGeom prst="rect">
                      <a:avLst/>
                    </a:prstGeom>
                  </pic:spPr>
                </pic:pic>
              </a:graphicData>
            </a:graphic>
          </wp:inline>
        </w:drawing>
      </w:r>
    </w:p>
    <w:p w:rsidR="004C68C8" w:rsidRDefault="004C68C8" w:rsidP="004C68C8">
      <w:r>
        <w:t xml:space="preserve">(a) </w:t>
      </w:r>
    </w:p>
    <w:p w:rsidR="004C68C8" w:rsidRDefault="004C68C8" w:rsidP="004C68C8">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oMath>
      <w:r>
        <w:t xml:space="preserve">is the coefficient of ‘hours studied’. Exp(0.05) = </w:t>
      </w:r>
      <w:r w:rsidRPr="00EA05A6">
        <w:t>1.051271</w:t>
      </w:r>
      <w:r>
        <w:t>, meaning odds of earning an A are multiplied by 1.051271, with each 1 hour increase in ‘hours studied’</w:t>
      </w:r>
    </w:p>
    <w:p w:rsidR="004C68C8" w:rsidRDefault="004C68C8" w:rsidP="004C68C8">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is the coefficient of ‘undergrad GPA’. Exp(1) = </w:t>
      </w:r>
      <w:r w:rsidRPr="00EA05A6">
        <w:t>2.718282</w:t>
      </w:r>
      <w:r>
        <w:t>, meaning odds of earning an A are multiplied by 2.718282, with each 1-unit increase in GPA.</w:t>
      </w:r>
    </w:p>
    <w:p w:rsidR="004C68C8" w:rsidRDefault="004C68C8" w:rsidP="004C68C8">
      <w:r>
        <w:t>(b)</w:t>
      </w:r>
    </w:p>
    <w:p w:rsidR="004C68C8" w:rsidRDefault="004C68C8" w:rsidP="004C68C8">
      <m:oMath>
        <m:r>
          <w:rPr>
            <w:rFonts w:ascii="Cambria Math" w:hAnsi="Cambria Math"/>
          </w:rPr>
          <m:t>p</m:t>
        </m:r>
        <m:d>
          <m:dPr>
            <m:ctrlPr>
              <w:rPr>
                <w:rFonts w:ascii="Cambria Math" w:hAnsi="Cambria Math"/>
                <w:i/>
              </w:rPr>
            </m:ctrlPr>
          </m:dPr>
          <m:e>
            <m:r>
              <w:rPr>
                <w:rFonts w:ascii="Cambria Math" w:hAnsi="Cambria Math"/>
              </w:rPr>
              <m:t>x1=40,x2=3.5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-6+0.05*40+1*3.5</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-6+0.05*40+1*3.5</m:t>
                </m:r>
              </m:sup>
            </m:sSup>
          </m:den>
        </m:f>
        <m:r>
          <w:rPr>
            <w:rFonts w:ascii="Cambria Math" w:hAnsi="Cambria Math"/>
          </w:rPr>
          <m:t>=</m:t>
        </m:r>
        <m:r>
          <w:rPr>
            <w:rFonts w:ascii="Cambria Math" w:hAnsi="Cambria Math"/>
          </w:rPr>
          <m:t>0.3775407</m:t>
        </m:r>
      </m:oMath>
      <w:r>
        <w:t xml:space="preserve"> </w:t>
      </w:r>
    </w:p>
    <w:p w:rsidR="004C68C8" w:rsidRDefault="004C68C8" w:rsidP="004C68C8">
      <w:r>
        <w:t>(c)</w:t>
      </w:r>
    </w:p>
    <w:p w:rsidR="004C68C8" w:rsidRPr="00434BAD" w:rsidRDefault="004C68C8" w:rsidP="004C68C8">
      <m:oMathPara>
        <m:oMathParaPr>
          <m:jc m:val="left"/>
        </m:oMathParaPr>
        <m:oMath>
          <m:r>
            <w:rPr>
              <w:rFonts w:ascii="Cambria Math" w:hAnsi="Cambria Math"/>
            </w:rPr>
            <m:t>p</m:t>
          </m:r>
          <m:d>
            <m:dPr>
              <m:ctrlPr>
                <w:rPr>
                  <w:rFonts w:ascii="Cambria Math" w:hAnsi="Cambria Math"/>
                  <w:i/>
                </w:rPr>
              </m:ctrlPr>
            </m:dPr>
            <m:e>
              <m:r>
                <w:rPr>
                  <w:rFonts w:ascii="Cambria Math" w:hAnsi="Cambria Math"/>
                </w:rPr>
                <m:t>x1=X1,x2=3.5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-6+0.05*X1+1*3.5</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-6+0.05*X1+1*3.5</m:t>
                  </m:r>
                </m:sup>
              </m:sSup>
            </m:den>
          </m:f>
          <m:r>
            <w:rPr>
              <w:rFonts w:ascii="Cambria Math" w:hAnsi="Cambria Math"/>
            </w:rPr>
            <m:t>=0.5</m:t>
          </m:r>
        </m:oMath>
      </m:oMathPara>
    </w:p>
    <w:p w:rsidR="004C68C8" w:rsidRPr="00434BAD" w:rsidRDefault="004C68C8" w:rsidP="004C68C8"/>
    <w:p w:rsidR="004C68C8" w:rsidRPr="00434BAD" w:rsidRDefault="004C68C8" w:rsidP="004C68C8">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-6+0.05*X1+1*3.5</m:t>
              </m:r>
            </m:sup>
          </m:sSup>
          <m:r>
            <w:rPr>
              <w:rFonts w:ascii="Cambria Math" w:hAnsi="Cambria Math"/>
            </w:rPr>
            <m:t>=</m:t>
          </m:r>
          <m:r>
            <w:rPr>
              <w:rFonts w:ascii="Cambria Math" w:hAnsi="Cambria Math"/>
            </w:rPr>
            <m:t>1</m:t>
          </m:r>
        </m:oMath>
      </m:oMathPara>
    </w:p>
    <w:p w:rsidR="004C68C8" w:rsidRPr="00434BAD" w:rsidRDefault="004C68C8" w:rsidP="004C68C8"/>
    <w:p w:rsidR="004C68C8" w:rsidRPr="00434BAD" w:rsidRDefault="004C68C8" w:rsidP="004C68C8">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-6+0.05*X1+1*3.5</m:t>
              </m:r>
            </m:sup>
          </m:sSup>
          <m:r>
            <w:rPr>
              <w:rFonts w:ascii="Cambria Math" w:hAnsi="Cambria Math"/>
            </w:rPr>
            <m:t>=</m:t>
          </m:r>
          <m:r>
            <w:rPr>
              <w:rFonts w:ascii="Cambria Math" w:hAnsi="Cambria Math"/>
            </w:rPr>
            <m:t>1</m:t>
          </m:r>
        </m:oMath>
      </m:oMathPara>
    </w:p>
    <w:p w:rsidR="004C68C8" w:rsidRPr="00434BAD" w:rsidRDefault="004C68C8" w:rsidP="004C68C8">
      <m:oMathPara>
        <m:oMath>
          <m:r>
            <w:rPr>
              <w:rFonts w:ascii="Cambria Math" w:hAnsi="Cambria Math"/>
            </w:rPr>
            <m:t>0.05*X1=2.5</m:t>
          </m:r>
        </m:oMath>
      </m:oMathPara>
    </w:p>
    <w:p w:rsidR="004C68C8" w:rsidRPr="00434BAD" w:rsidRDefault="004C68C8" w:rsidP="004C68C8">
      <m:oMathPara>
        <m:oMath>
          <m:r>
            <w:rPr>
              <w:rFonts w:ascii="Cambria Math" w:hAnsi="Cambria Math"/>
            </w:rPr>
            <m:t>X1=50</m:t>
          </m:r>
        </m:oMath>
      </m:oMathPara>
    </w:p>
    <w:p w:rsidR="004C68C8" w:rsidRDefault="004C68C8" w:rsidP="004C68C8">
      <w:r>
        <w:t>He needs 50 hours study to reach the 50% chance of getting an A.</w:t>
      </w:r>
    </w:p>
    <w:p w:rsidR="004C68C8" w:rsidRDefault="004C68C8" w:rsidP="004C68C8"/>
    <w:p w:rsidR="004C68C8" w:rsidRPr="00434BAD" w:rsidRDefault="004C68C8" w:rsidP="004C68C8">
      <w:pPr>
        <w:rPr>
          <w:rFonts w:hint="eastAsia"/>
        </w:rPr>
      </w:pPr>
    </w:p>
    <w:p w:rsidR="004C68C8" w:rsidRDefault="004C68C8" w:rsidP="004C68C8">
      <w:pPr>
        <w:jc w:val="center"/>
      </w:pPr>
      <w:r>
        <w:rPr>
          <w:noProof/>
        </w:rPr>
        <w:lastRenderedPageBreak/>
        <w:drawing>
          <wp:inline distT="0" distB="0" distL="0" distR="0" wp14:anchorId="72E4FC52" wp14:editId="55B0D6BE">
            <wp:extent cx="5943600" cy="2661920"/>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5 at 2.36.5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61920"/>
                    </a:xfrm>
                    <a:prstGeom prst="rect">
                      <a:avLst/>
                    </a:prstGeom>
                  </pic:spPr>
                </pic:pic>
              </a:graphicData>
            </a:graphic>
          </wp:inline>
        </w:drawing>
      </w:r>
    </w:p>
    <w:p w:rsidR="004C68C8" w:rsidRDefault="004C68C8" w:rsidP="004C68C8">
      <w:r>
        <w:rPr>
          <w:rFonts w:hint="eastAsia"/>
        </w:rPr>
        <w:t>(</w:t>
      </w:r>
      <w:r>
        <w:t>a)</w:t>
      </w:r>
    </w:p>
    <w:p w:rsidR="004C68C8" w:rsidRDefault="004C68C8" w:rsidP="004C68C8">
      <w:r>
        <w:t>If the Bayes decision boundary is linear, we may expect that LDA performs better on the training set and test set. Because the QDA will suffer from high variance without a corresponding decrease in bias.</w:t>
      </w:r>
    </w:p>
    <w:p w:rsidR="004C68C8" w:rsidRDefault="004C68C8" w:rsidP="004C68C8">
      <w:r>
        <w:t>(b)</w:t>
      </w:r>
    </w:p>
    <w:p w:rsidR="004C68C8" w:rsidRDefault="004C68C8" w:rsidP="004C68C8">
      <w:r>
        <w:t xml:space="preserve">If the Bays decision boundary is non-linear, we may expect the QDA will outperform the LDA on both training set and test set.  Because QDA is more flexible and does not share a common covariance matrix we may expect a decrease in </w:t>
      </w:r>
      <w:r>
        <w:rPr>
          <w:rFonts w:hint="eastAsia"/>
        </w:rPr>
        <w:t>bias</w:t>
      </w:r>
      <w:r>
        <w:t>.</w:t>
      </w:r>
    </w:p>
    <w:p w:rsidR="004C68C8" w:rsidRDefault="004C68C8" w:rsidP="004C68C8">
      <w:r>
        <w:t>(c)</w:t>
      </w:r>
    </w:p>
    <w:p w:rsidR="004C68C8" w:rsidRDefault="004C68C8" w:rsidP="004C68C8">
      <w:r>
        <w:t>As sample size n increase, we may expect that QDA may outperform the LDA. Because as n gets large, reducing variance of classifier is not a major concern, or if the assumption of a common covariance matrix for the K classifiers clearly untenable. Besides, QDA is more flexible than LDA. Then, QDA may perform better than LDA.</w:t>
      </w:r>
    </w:p>
    <w:p w:rsidR="004C68C8" w:rsidRDefault="004C68C8" w:rsidP="004C68C8">
      <w:r>
        <w:rPr>
          <w:rFonts w:hint="eastAsia"/>
        </w:rPr>
        <w:t>(</w:t>
      </w:r>
      <w:r>
        <w:t>d)</w:t>
      </w:r>
    </w:p>
    <w:p w:rsidR="004C68C8" w:rsidRDefault="004C68C8" w:rsidP="004C68C8">
      <w:r>
        <w:rPr>
          <w:rFonts w:hint="eastAsia"/>
        </w:rPr>
        <w:t>False</w:t>
      </w:r>
      <w:r>
        <w:t>.</w:t>
      </w:r>
    </w:p>
    <w:p w:rsidR="004C68C8" w:rsidRDefault="004C68C8" w:rsidP="004C68C8">
      <w:r>
        <w:rPr>
          <w:rFonts w:hint="eastAsia"/>
        </w:rPr>
        <w:t>When</w:t>
      </w:r>
      <w:r>
        <w:t xml:space="preserve"> the number of observations is small but with more predictors, QDA may lead to overfitting due to the flexibility of QDA. Therefore, when considering reducing the variance, it is better to use LDA. </w:t>
      </w:r>
    </w:p>
    <w:p w:rsidR="004C68C8" w:rsidRPr="00963BFC" w:rsidRDefault="004C68C8" w:rsidP="00434BAD">
      <w:pPr>
        <w:rPr>
          <w:rFonts w:hint="eastAsia"/>
        </w:rPr>
      </w:pPr>
    </w:p>
    <w:sectPr w:rsidR="004C68C8" w:rsidRPr="00963BFC" w:rsidSect="00457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904B3"/>
    <w:multiLevelType w:val="multilevel"/>
    <w:tmpl w:val="D72E7C90"/>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5A6"/>
    <w:rsid w:val="002608D0"/>
    <w:rsid w:val="00434BAD"/>
    <w:rsid w:val="00457151"/>
    <w:rsid w:val="00457CA8"/>
    <w:rsid w:val="004A74F5"/>
    <w:rsid w:val="004C68C8"/>
    <w:rsid w:val="00845553"/>
    <w:rsid w:val="00963BFC"/>
    <w:rsid w:val="009D184D"/>
    <w:rsid w:val="00EA0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BDA263"/>
  <w15:chartTrackingRefBased/>
  <w15:docId w15:val="{5332169B-CD65-544E-8A36-AB49135A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5A6"/>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EA05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61580">
      <w:bodyDiv w:val="1"/>
      <w:marLeft w:val="0"/>
      <w:marRight w:val="0"/>
      <w:marTop w:val="0"/>
      <w:marBottom w:val="0"/>
      <w:divBdr>
        <w:top w:val="none" w:sz="0" w:space="0" w:color="auto"/>
        <w:left w:val="none" w:sz="0" w:space="0" w:color="auto"/>
        <w:bottom w:val="none" w:sz="0" w:space="0" w:color="auto"/>
        <w:right w:val="none" w:sz="0" w:space="0" w:color="auto"/>
      </w:divBdr>
    </w:div>
    <w:div w:id="775826295">
      <w:bodyDiv w:val="1"/>
      <w:marLeft w:val="0"/>
      <w:marRight w:val="0"/>
      <w:marTop w:val="0"/>
      <w:marBottom w:val="0"/>
      <w:divBdr>
        <w:top w:val="none" w:sz="0" w:space="0" w:color="auto"/>
        <w:left w:val="none" w:sz="0" w:space="0" w:color="auto"/>
        <w:bottom w:val="none" w:sz="0" w:space="0" w:color="auto"/>
        <w:right w:val="none" w:sz="0" w:space="0" w:color="auto"/>
      </w:divBdr>
    </w:div>
    <w:div w:id="1109198911">
      <w:bodyDiv w:val="1"/>
      <w:marLeft w:val="0"/>
      <w:marRight w:val="0"/>
      <w:marTop w:val="0"/>
      <w:marBottom w:val="0"/>
      <w:divBdr>
        <w:top w:val="none" w:sz="0" w:space="0" w:color="auto"/>
        <w:left w:val="none" w:sz="0" w:space="0" w:color="auto"/>
        <w:bottom w:val="none" w:sz="0" w:space="0" w:color="auto"/>
        <w:right w:val="none" w:sz="0" w:space="0" w:color="auto"/>
      </w:divBdr>
    </w:div>
    <w:div w:id="1446120331">
      <w:bodyDiv w:val="1"/>
      <w:marLeft w:val="0"/>
      <w:marRight w:val="0"/>
      <w:marTop w:val="0"/>
      <w:marBottom w:val="0"/>
      <w:divBdr>
        <w:top w:val="none" w:sz="0" w:space="0" w:color="auto"/>
        <w:left w:val="none" w:sz="0" w:space="0" w:color="auto"/>
        <w:bottom w:val="none" w:sz="0" w:space="0" w:color="auto"/>
        <w:right w:val="none" w:sz="0" w:space="0" w:color="auto"/>
      </w:divBdr>
      <w:divsChild>
        <w:div w:id="654262616">
          <w:marLeft w:val="0"/>
          <w:marRight w:val="0"/>
          <w:marTop w:val="0"/>
          <w:marBottom w:val="0"/>
          <w:divBdr>
            <w:top w:val="none" w:sz="0" w:space="0" w:color="auto"/>
            <w:left w:val="none" w:sz="0" w:space="0" w:color="auto"/>
            <w:bottom w:val="none" w:sz="0" w:space="0" w:color="auto"/>
            <w:right w:val="none" w:sz="0" w:space="0" w:color="auto"/>
          </w:divBdr>
          <w:divsChild>
            <w:div w:id="397634037">
              <w:marLeft w:val="0"/>
              <w:marRight w:val="0"/>
              <w:marTop w:val="0"/>
              <w:marBottom w:val="0"/>
              <w:divBdr>
                <w:top w:val="none" w:sz="0" w:space="0" w:color="auto"/>
                <w:left w:val="none" w:sz="0" w:space="0" w:color="auto"/>
                <w:bottom w:val="none" w:sz="0" w:space="0" w:color="auto"/>
                <w:right w:val="none" w:sz="0" w:space="0" w:color="auto"/>
              </w:divBdr>
              <w:divsChild>
                <w:div w:id="277106097">
                  <w:marLeft w:val="0"/>
                  <w:marRight w:val="0"/>
                  <w:marTop w:val="0"/>
                  <w:marBottom w:val="0"/>
                  <w:divBdr>
                    <w:top w:val="none" w:sz="0" w:space="0" w:color="auto"/>
                    <w:left w:val="none" w:sz="0" w:space="0" w:color="auto"/>
                    <w:bottom w:val="none" w:sz="0" w:space="0" w:color="auto"/>
                    <w:right w:val="none" w:sz="0" w:space="0" w:color="auto"/>
                  </w:divBdr>
                </w:div>
              </w:divsChild>
            </w:div>
            <w:div w:id="352734875">
              <w:marLeft w:val="0"/>
              <w:marRight w:val="0"/>
              <w:marTop w:val="0"/>
              <w:marBottom w:val="0"/>
              <w:divBdr>
                <w:top w:val="none" w:sz="0" w:space="0" w:color="auto"/>
                <w:left w:val="none" w:sz="0" w:space="0" w:color="auto"/>
                <w:bottom w:val="none" w:sz="0" w:space="0" w:color="auto"/>
                <w:right w:val="none" w:sz="0" w:space="0" w:color="auto"/>
              </w:divBdr>
              <w:divsChild>
                <w:div w:id="651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B9665-57C6-C643-B44E-84B65FC13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Ziwei</dc:creator>
  <cp:keywords/>
  <dc:description/>
  <cp:lastModifiedBy>Li, Ziwei</cp:lastModifiedBy>
  <cp:revision>1</cp:revision>
  <dcterms:created xsi:type="dcterms:W3CDTF">2020-03-15T18:18:00Z</dcterms:created>
  <dcterms:modified xsi:type="dcterms:W3CDTF">2020-03-16T00:43:00Z</dcterms:modified>
</cp:coreProperties>
</file>