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09B2" w:rsidRPr="002509B2" w:rsidRDefault="002509B2" w:rsidP="002509B2">
      <w:pPr>
        <w:widowControl/>
        <w:shd w:val="clear" w:color="auto" w:fill="FFFFFF"/>
        <w:spacing w:before="480"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2509B2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Reflection Report – ACC102 Mini Assignment</w:t>
      </w:r>
    </w:p>
    <w:p w:rsidR="002509B2" w:rsidRDefault="002509B2" w:rsidP="002509B2">
      <w:pPr>
        <w:pStyle w:val="a4"/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Author</w:t>
      </w:r>
      <w:r w:rsidRPr="002509B2">
        <w:rPr>
          <w:rFonts w:hint="eastAsia"/>
        </w:rPr>
        <w:t>：</w:t>
      </w:r>
      <w:proofErr w:type="spellStart"/>
      <w:r w:rsidRPr="002509B2">
        <w:t>Zixuan</w:t>
      </w:r>
      <w:proofErr w:type="spellEnd"/>
      <w:r w:rsidRPr="002509B2">
        <w:t xml:space="preserve"> Huang</w:t>
      </w:r>
    </w:p>
    <w:p w:rsidR="002509B2" w:rsidRPr="002509B2" w:rsidRDefault="002509B2" w:rsidP="002509B2">
      <w:pPr>
        <w:pStyle w:val="a4"/>
      </w:pPr>
      <w:bookmarkStart w:id="0" w:name="_GoBack"/>
      <w:bookmarkEnd w:id="0"/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Student ID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: 2469525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Track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: Track 2 – GitHub Data Analysis Project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Product Title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: Firm Size and Stock Volatility – WRDS Analysis</w:t>
      </w:r>
    </w:p>
    <w:p w:rsidR="002509B2" w:rsidRPr="002509B2" w:rsidRDefault="002509B2" w:rsidP="002509B2">
      <w:pPr>
        <w:widowControl/>
        <w:shd w:val="clear" w:color="auto" w:fill="FFFFFF"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2509B2" w:rsidRPr="002509B2" w:rsidRDefault="002509B2" w:rsidP="002509B2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509B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1. Analytical Problem and Target User</w:t>
      </w:r>
    </w:p>
    <w:p w:rsidR="002509B2" w:rsidRPr="002509B2" w:rsidRDefault="002509B2" w:rsidP="002509B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The analytical problem of this project is: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Do smaller firms exhibit higher stock return volatility than larger firms?</w:t>
      </w:r>
    </w:p>
    <w:p w:rsidR="002509B2" w:rsidRPr="002509B2" w:rsidRDefault="002509B2" w:rsidP="002509B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This question is directly relevant to equity portfolio management and risk pricing.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The intended </w:t>
      </w: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target user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 is a </w:t>
      </w: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junior equity research analyst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 who needs to:</w:t>
      </w:r>
    </w:p>
    <w:p w:rsidR="002509B2" w:rsidRPr="002509B2" w:rsidRDefault="002509B2" w:rsidP="002509B2">
      <w:pPr>
        <w:widowControl/>
        <w:numPr>
          <w:ilvl w:val="0"/>
          <w:numId w:val="1"/>
        </w:numPr>
        <w:shd w:val="clear" w:color="auto" w:fill="FFFFFF"/>
        <w:spacing w:before="100" w:beforeAutospacing="1" w:line="420" w:lineRule="atLeast"/>
        <w:ind w:left="30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justify size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noBreakHyphen/>
        <w:t>based risk premiums</w:t>
      </w:r>
    </w:p>
    <w:p w:rsidR="002509B2" w:rsidRPr="002509B2" w:rsidRDefault="002509B2" w:rsidP="002509B2">
      <w:pPr>
        <w:widowControl/>
        <w:numPr>
          <w:ilvl w:val="0"/>
          <w:numId w:val="1"/>
        </w:numPr>
        <w:shd w:val="clear" w:color="auto" w:fill="FFFFFF"/>
        <w:spacing w:before="100" w:beforeAutospacing="1" w:line="420" w:lineRule="atLeast"/>
        <w:ind w:left="30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support small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noBreakHyphen/>
        <w:t>cap allocation decisions</w:t>
      </w:r>
    </w:p>
    <w:p w:rsidR="002509B2" w:rsidRPr="002509B2" w:rsidRDefault="002509B2" w:rsidP="002509B2">
      <w:pPr>
        <w:widowControl/>
        <w:numPr>
          <w:ilvl w:val="0"/>
          <w:numId w:val="1"/>
        </w:numPr>
        <w:shd w:val="clear" w:color="auto" w:fill="FFFFFF"/>
        <w:spacing w:before="100" w:beforeAutospacing="1" w:line="420" w:lineRule="atLeast"/>
        <w:ind w:left="30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communicate volatility differences to portfolio managers</w:t>
      </w:r>
    </w:p>
    <w:p w:rsidR="002509B2" w:rsidRPr="002509B2" w:rsidRDefault="002509B2" w:rsidP="002509B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The hypothesis is grounded in financial theory: smaller firms tend to have lower liquidity, higher information asymmetry, and greater business risk, which should be reflected in higher return volatility.</w:t>
      </w:r>
    </w:p>
    <w:p w:rsidR="002509B2" w:rsidRPr="002509B2" w:rsidRDefault="002509B2" w:rsidP="002509B2">
      <w:pPr>
        <w:widowControl/>
        <w:shd w:val="clear" w:color="auto" w:fill="FFFFFF"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pict>
          <v:rect id="_x0000_i1026" style="width:0;height:.75pt" o:hralign="center" o:hrstd="t" o:hr="t" fillcolor="#a0a0a0" stroked="f"/>
        </w:pict>
      </w:r>
    </w:p>
    <w:p w:rsidR="002509B2" w:rsidRPr="002509B2" w:rsidRDefault="002509B2" w:rsidP="002509B2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509B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2. Dataset and Selection Rationale</w:t>
      </w:r>
    </w:p>
    <w:p w:rsidR="002509B2" w:rsidRPr="002509B2" w:rsidRDefault="002509B2" w:rsidP="002509B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I used </w:t>
      </w: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CRSP Daily Stock File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 accessed via </w:t>
      </w: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WRDS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 (Wharton Research Data Services).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The data include daily returns, price, shares outstanding, and trading volume for US publicly traded firms.</w:t>
      </w:r>
    </w:p>
    <w:p w:rsidR="002509B2" w:rsidRPr="002509B2" w:rsidRDefault="002509B2" w:rsidP="002509B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Why this dataset was selected:</w:t>
      </w:r>
    </w:p>
    <w:p w:rsidR="002509B2" w:rsidRPr="002509B2" w:rsidRDefault="002509B2" w:rsidP="002509B2">
      <w:pPr>
        <w:widowControl/>
        <w:numPr>
          <w:ilvl w:val="0"/>
          <w:numId w:val="2"/>
        </w:numPr>
        <w:shd w:val="clear" w:color="auto" w:fill="FFFFFF"/>
        <w:spacing w:before="100" w:beforeAutospacing="1" w:line="420" w:lineRule="atLeast"/>
        <w:ind w:left="30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CRSP is the industry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noBreakHyphen/>
        <w:t>standard database for empirical asset pricing</w:t>
      </w:r>
    </w:p>
    <w:p w:rsidR="002509B2" w:rsidRPr="002509B2" w:rsidRDefault="002509B2" w:rsidP="002509B2">
      <w:pPr>
        <w:widowControl/>
        <w:numPr>
          <w:ilvl w:val="0"/>
          <w:numId w:val="2"/>
        </w:numPr>
        <w:shd w:val="clear" w:color="auto" w:fill="FFFFFF"/>
        <w:spacing w:before="100" w:beforeAutospacing="1" w:line="420" w:lineRule="atLeast"/>
        <w:ind w:left="30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It allows direct calculation of market </w:t>
      </w:r>
      <w:proofErr w:type="spellStart"/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capitalisation</w:t>
      </w:r>
      <w:proofErr w:type="spellEnd"/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and volatility from daily returns</w:t>
      </w:r>
    </w:p>
    <w:p w:rsidR="002509B2" w:rsidRPr="002509B2" w:rsidRDefault="002509B2" w:rsidP="002509B2">
      <w:pPr>
        <w:widowControl/>
        <w:numPr>
          <w:ilvl w:val="0"/>
          <w:numId w:val="2"/>
        </w:numPr>
        <w:shd w:val="clear" w:color="auto" w:fill="FFFFFF"/>
        <w:spacing w:before="100" w:beforeAutospacing="1" w:line="420" w:lineRule="atLeast"/>
        <w:ind w:left="30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The dataset is lawful, reliable, and widely accepted in financial research</w:t>
      </w:r>
    </w:p>
    <w:p w:rsidR="002509B2" w:rsidRPr="002509B2" w:rsidRDefault="002509B2" w:rsidP="002509B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Data period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: 2024 full year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Access date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: 21 April 2026</w:t>
      </w:r>
    </w:p>
    <w:p w:rsidR="002509B2" w:rsidRPr="002509B2" w:rsidRDefault="002509B2" w:rsidP="002509B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A key distinction was made: CRSP includes a field named </w:t>
      </w:r>
      <w:r w:rsidRPr="002509B2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vol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, but this represents </w:t>
      </w: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trading volume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, not price volatility. Therefore, all volatility was calculated directly from daily returns (</w:t>
      </w:r>
      <w:r w:rsidRPr="002509B2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ret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).</w:t>
      </w:r>
    </w:p>
    <w:p w:rsidR="002509B2" w:rsidRPr="002509B2" w:rsidRDefault="002509B2" w:rsidP="002509B2">
      <w:pPr>
        <w:widowControl/>
        <w:shd w:val="clear" w:color="auto" w:fill="FFFFFF"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2509B2" w:rsidRPr="002509B2" w:rsidRDefault="002509B2" w:rsidP="002509B2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509B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3. What I Did and Why</w:t>
      </w:r>
    </w:p>
    <w:p w:rsidR="002509B2" w:rsidRPr="002509B2" w:rsidRDefault="002509B2" w:rsidP="002509B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The Python workflow in the notebook followed a clear analytical path:</w:t>
      </w:r>
    </w:p>
    <w:p w:rsidR="002509B2" w:rsidRPr="002509B2" w:rsidRDefault="002509B2" w:rsidP="002509B2">
      <w:pPr>
        <w:widowControl/>
        <w:numPr>
          <w:ilvl w:val="0"/>
          <w:numId w:val="3"/>
        </w:numPr>
        <w:shd w:val="clear" w:color="auto" w:fill="FFFFFF"/>
        <w:spacing w:before="100" w:beforeAutospacing="1" w:line="420" w:lineRule="atLeast"/>
        <w:ind w:left="30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Data acquisition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 – WRDS connection and SQL query</w:t>
      </w:r>
    </w:p>
    <w:p w:rsidR="002509B2" w:rsidRPr="002509B2" w:rsidRDefault="002509B2" w:rsidP="002509B2">
      <w:pPr>
        <w:widowControl/>
        <w:numPr>
          <w:ilvl w:val="0"/>
          <w:numId w:val="3"/>
        </w:numPr>
        <w:shd w:val="clear" w:color="auto" w:fill="FFFFFF"/>
        <w:spacing w:before="100" w:beforeAutospacing="1" w:line="420" w:lineRule="atLeast"/>
        <w:ind w:left="30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Market cap calculation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 – </w:t>
      </w:r>
      <w:r w:rsidRPr="002509B2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abs(</w:t>
      </w:r>
      <w:proofErr w:type="spellStart"/>
      <w:r w:rsidRPr="002509B2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prc</w:t>
      </w:r>
      <w:proofErr w:type="spellEnd"/>
      <w:r w:rsidRPr="002509B2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) × (</w:t>
      </w:r>
      <w:proofErr w:type="spellStart"/>
      <w:r w:rsidRPr="002509B2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shrout</w:t>
      </w:r>
      <w:proofErr w:type="spellEnd"/>
      <w:r w:rsidRPr="002509B2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 xml:space="preserve"> × 1000)</w:t>
      </w:r>
    </w:p>
    <w:p w:rsidR="002509B2" w:rsidRPr="002509B2" w:rsidRDefault="002509B2" w:rsidP="002509B2">
      <w:pPr>
        <w:widowControl/>
        <w:numPr>
          <w:ilvl w:val="0"/>
          <w:numId w:val="3"/>
        </w:numPr>
        <w:shd w:val="clear" w:color="auto" w:fill="FFFFFF"/>
        <w:spacing w:before="100" w:beforeAutospacing="1" w:line="420" w:lineRule="atLeast"/>
        <w:ind w:left="30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Size group classification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 – firm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noBreakHyphen/>
        <w:t>level average market cap, split at the median (this avoids daily size switching)</w:t>
      </w:r>
    </w:p>
    <w:p w:rsidR="002509B2" w:rsidRPr="002509B2" w:rsidRDefault="002509B2" w:rsidP="002509B2">
      <w:pPr>
        <w:widowControl/>
        <w:numPr>
          <w:ilvl w:val="0"/>
          <w:numId w:val="3"/>
        </w:numPr>
        <w:shd w:val="clear" w:color="auto" w:fill="FFFFFF"/>
        <w:spacing w:before="100" w:beforeAutospacing="1" w:line="420" w:lineRule="atLeast"/>
        <w:ind w:left="30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Volatility calculation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 – 20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noBreakHyphen/>
        <w:t>day rolling standard deviation of daily returns, requiring at least 5 observations per window</w:t>
      </w:r>
    </w:p>
    <w:p w:rsidR="002509B2" w:rsidRPr="002509B2" w:rsidRDefault="002509B2" w:rsidP="002509B2">
      <w:pPr>
        <w:widowControl/>
        <w:numPr>
          <w:ilvl w:val="0"/>
          <w:numId w:val="3"/>
        </w:numPr>
        <w:shd w:val="clear" w:color="auto" w:fill="FFFFFF"/>
        <w:spacing w:before="100" w:beforeAutospacing="1" w:line="420" w:lineRule="atLeast"/>
        <w:ind w:left="30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Outlier filtering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 – removing daily volatility &gt; 1.0 (unrealistic extremes)</w:t>
      </w:r>
    </w:p>
    <w:p w:rsidR="002509B2" w:rsidRPr="002509B2" w:rsidRDefault="002509B2" w:rsidP="002509B2">
      <w:pPr>
        <w:widowControl/>
        <w:numPr>
          <w:ilvl w:val="0"/>
          <w:numId w:val="3"/>
        </w:numPr>
        <w:shd w:val="clear" w:color="auto" w:fill="FFFFFF"/>
        <w:spacing w:before="100" w:beforeAutospacing="1" w:line="420" w:lineRule="atLeast"/>
        <w:ind w:left="30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Visualisation</w:t>
      </w:r>
      <w:proofErr w:type="spellEnd"/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and summary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 – bar chart, time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noBreakHyphen/>
        <w:t>series plot, and descriptive statistics</w:t>
      </w:r>
    </w:p>
    <w:p w:rsidR="002509B2" w:rsidRPr="002509B2" w:rsidRDefault="002509B2" w:rsidP="002509B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This approach ensures:</w:t>
      </w:r>
    </w:p>
    <w:p w:rsidR="002509B2" w:rsidRPr="002509B2" w:rsidRDefault="002509B2" w:rsidP="002509B2">
      <w:pPr>
        <w:widowControl/>
        <w:numPr>
          <w:ilvl w:val="0"/>
          <w:numId w:val="4"/>
        </w:numPr>
        <w:shd w:val="clear" w:color="auto" w:fill="FFFFFF"/>
        <w:spacing w:before="100" w:beforeAutospacing="1" w:line="420" w:lineRule="atLeast"/>
        <w:ind w:left="30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each firm belongs to </w:t>
      </w: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one stable size group</w:t>
      </w:r>
    </w:p>
    <w:p w:rsidR="002509B2" w:rsidRPr="002509B2" w:rsidRDefault="002509B2" w:rsidP="002509B2">
      <w:pPr>
        <w:widowControl/>
        <w:numPr>
          <w:ilvl w:val="0"/>
          <w:numId w:val="4"/>
        </w:numPr>
        <w:shd w:val="clear" w:color="auto" w:fill="FFFFFF"/>
        <w:spacing w:before="100" w:beforeAutospacing="1" w:line="420" w:lineRule="atLeast"/>
        <w:ind w:left="30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volatility is measured in a way consistent with empirical finance literature</w:t>
      </w:r>
    </w:p>
    <w:p w:rsidR="002509B2" w:rsidRPr="002509B2" w:rsidRDefault="002509B2" w:rsidP="002509B2">
      <w:pPr>
        <w:widowControl/>
        <w:numPr>
          <w:ilvl w:val="0"/>
          <w:numId w:val="4"/>
        </w:numPr>
        <w:shd w:val="clear" w:color="auto" w:fill="FFFFFF"/>
        <w:spacing w:before="100" w:beforeAutospacing="1" w:line="420" w:lineRule="atLeast"/>
        <w:ind w:left="30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results are interpretable for a junior analyst</w:t>
      </w:r>
    </w:p>
    <w:p w:rsidR="002509B2" w:rsidRPr="002509B2" w:rsidRDefault="002509B2" w:rsidP="002509B2">
      <w:pPr>
        <w:widowControl/>
        <w:shd w:val="clear" w:color="auto" w:fill="FFFFFF"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2509B2" w:rsidRPr="002509B2" w:rsidRDefault="002509B2" w:rsidP="002509B2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509B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4. Key Findings and Business Insight</w:t>
      </w:r>
    </w:p>
    <w:p w:rsidR="002509B2" w:rsidRPr="002509B2" w:rsidRDefault="002509B2" w:rsidP="002509B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The analysis strongly supports the hypothesis:</w:t>
      </w:r>
    </w:p>
    <w:p w:rsidR="002509B2" w:rsidRPr="002509B2" w:rsidRDefault="002509B2" w:rsidP="002509B2">
      <w:pPr>
        <w:widowControl/>
        <w:numPr>
          <w:ilvl w:val="0"/>
          <w:numId w:val="5"/>
        </w:numPr>
        <w:shd w:val="clear" w:color="auto" w:fill="FFFFFF"/>
        <w:spacing w:before="100" w:beforeAutospacing="1" w:line="420" w:lineRule="atLeast"/>
        <w:ind w:left="30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Small</w:t>
      </w: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noBreakHyphen/>
        <w:t>Cap average volatility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: 0.0314 (3.14% daily std dev)</w:t>
      </w:r>
    </w:p>
    <w:p w:rsidR="002509B2" w:rsidRPr="002509B2" w:rsidRDefault="002509B2" w:rsidP="002509B2">
      <w:pPr>
        <w:widowControl/>
        <w:numPr>
          <w:ilvl w:val="0"/>
          <w:numId w:val="5"/>
        </w:numPr>
        <w:shd w:val="clear" w:color="auto" w:fill="FFFFFF"/>
        <w:spacing w:before="100" w:beforeAutospacing="1" w:line="420" w:lineRule="atLeast"/>
        <w:ind w:left="30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Large</w:t>
      </w: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noBreakHyphen/>
        <w:t>Cap average volatility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: 0.0206 (2.06% daily std dev)</w:t>
      </w:r>
    </w:p>
    <w:p w:rsidR="002509B2" w:rsidRPr="002509B2" w:rsidRDefault="002509B2" w:rsidP="002509B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Small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noBreakHyphen/>
        <w:t>cap firms are </w:t>
      </w: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approximately 52% more volatile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 than large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noBreakHyphen/>
        <w:t>cap firms based on 20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noBreakHyphen/>
        <w:t>day rolling volatility.</w:t>
      </w:r>
    </w:p>
    <w:p w:rsidR="002509B2" w:rsidRPr="002509B2" w:rsidRDefault="002509B2" w:rsidP="002509B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Business implication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: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Equity analysts should demand higher expected returns from small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noBreakHyphen/>
        <w:t>cap exposures. The well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noBreakHyphen/>
        <w:t>known "size premium" in financial markets is partially explained by this elevated volatility risk.</w:t>
      </w:r>
    </w:p>
    <w:p w:rsidR="002509B2" w:rsidRPr="002509B2" w:rsidRDefault="002509B2" w:rsidP="002509B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The single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noBreakHyphen/>
        <w:t>firm time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noBreakHyphen/>
        <w:t xml:space="preserve">series </w:t>
      </w:r>
      <w:proofErr w:type="spellStart"/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visualisation</w:t>
      </w:r>
      <w:proofErr w:type="spellEnd"/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(PERMNO 10026) also shows that volatility is not constant over time, reinforcing the importance of dynamic risk monitoring.</w:t>
      </w:r>
    </w:p>
    <w:p w:rsidR="002509B2" w:rsidRPr="002509B2" w:rsidRDefault="002509B2" w:rsidP="002509B2">
      <w:pPr>
        <w:widowControl/>
        <w:shd w:val="clear" w:color="auto" w:fill="FFFFFF"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2509B2" w:rsidRPr="002509B2" w:rsidRDefault="002509B2" w:rsidP="002509B2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509B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5. Limitations and Professional Practice</w:t>
      </w:r>
    </w:p>
    <w:p w:rsidR="002509B2" w:rsidRPr="002509B2" w:rsidRDefault="002509B2" w:rsidP="002509B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Several limitations are acknowledged:</w:t>
      </w:r>
    </w:p>
    <w:p w:rsidR="002509B2" w:rsidRPr="002509B2" w:rsidRDefault="002509B2" w:rsidP="002509B2">
      <w:pPr>
        <w:widowControl/>
        <w:numPr>
          <w:ilvl w:val="0"/>
          <w:numId w:val="6"/>
        </w:numPr>
        <w:shd w:val="clear" w:color="auto" w:fill="FFFFFF"/>
        <w:spacing w:before="100" w:beforeAutospacing="1" w:line="420" w:lineRule="atLeast"/>
        <w:ind w:left="30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Single</w:t>
      </w: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noBreakHyphen/>
        <w:t>year analysis (2024)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 – results may not </w:t>
      </w:r>
      <w:proofErr w:type="spellStart"/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generalise</w:t>
      </w:r>
      <w:proofErr w:type="spellEnd"/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to other market regimes</w:t>
      </w:r>
    </w:p>
    <w:p w:rsidR="002509B2" w:rsidRPr="002509B2" w:rsidRDefault="002509B2" w:rsidP="002509B2">
      <w:pPr>
        <w:widowControl/>
        <w:numPr>
          <w:ilvl w:val="0"/>
          <w:numId w:val="6"/>
        </w:numPr>
        <w:shd w:val="clear" w:color="auto" w:fill="FFFFFF"/>
        <w:spacing w:before="100" w:beforeAutospacing="1" w:line="420" w:lineRule="atLeast"/>
        <w:ind w:left="30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No industry or liquidity control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 – size effect might be partly driven by industry composition</w:t>
      </w:r>
    </w:p>
    <w:p w:rsidR="002509B2" w:rsidRPr="002509B2" w:rsidRDefault="002509B2" w:rsidP="002509B2">
      <w:pPr>
        <w:widowControl/>
        <w:numPr>
          <w:ilvl w:val="0"/>
          <w:numId w:val="6"/>
        </w:numPr>
        <w:shd w:val="clear" w:color="auto" w:fill="FFFFFF"/>
        <w:spacing w:before="100" w:beforeAutospacing="1" w:line="420" w:lineRule="atLeast"/>
        <w:ind w:left="30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Simple median split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 – more refined size deciles could provide richer insights</w:t>
      </w:r>
    </w:p>
    <w:p w:rsidR="002509B2" w:rsidRPr="002509B2" w:rsidRDefault="002509B2" w:rsidP="002509B2">
      <w:pPr>
        <w:widowControl/>
        <w:numPr>
          <w:ilvl w:val="0"/>
          <w:numId w:val="6"/>
        </w:numPr>
        <w:shd w:val="clear" w:color="auto" w:fill="FFFFFF"/>
        <w:spacing w:before="100" w:beforeAutospacing="1" w:line="420" w:lineRule="atLeast"/>
        <w:ind w:left="30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No statistical testing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 – a t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noBreakHyphen/>
        <w:t>test or regression would strengthen causal inference</w:t>
      </w:r>
    </w:p>
    <w:p w:rsidR="002509B2" w:rsidRPr="002509B2" w:rsidRDefault="002509B2" w:rsidP="002509B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Despite these limitations, the analysis remains </w:t>
      </w: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fit for purpose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: it demonstrates a complete Python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noBreakHyphen/>
        <w:t>driven data product workflow and delivers actionable insight for a clearly defined user.</w:t>
      </w:r>
    </w:p>
    <w:p w:rsidR="002509B2" w:rsidRPr="002509B2" w:rsidRDefault="002509B2" w:rsidP="002509B2">
      <w:pPr>
        <w:widowControl/>
        <w:shd w:val="clear" w:color="auto" w:fill="FFFFFF"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2509B2" w:rsidRPr="002509B2" w:rsidRDefault="002509B2" w:rsidP="002509B2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509B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6. AI Use and Academic Integrity Disclosure</w:t>
      </w:r>
    </w:p>
    <w:p w:rsidR="002509B2" w:rsidRPr="002509B2" w:rsidRDefault="002509B2" w:rsidP="002509B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In line with the module's AI disclosure requirement, I state the following AI tools were used in this assignment: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1803"/>
        <w:gridCol w:w="1306"/>
        <w:gridCol w:w="3894"/>
      </w:tblGrid>
      <w:tr w:rsidR="002509B2" w:rsidRPr="002509B2" w:rsidTr="002509B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09B2" w:rsidRPr="002509B2" w:rsidRDefault="002509B2" w:rsidP="002509B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509B2">
              <w:rPr>
                <w:rFonts w:ascii="Segoe UI" w:eastAsia="宋体" w:hAnsi="Segoe UI" w:cs="Segoe UI"/>
                <w:kern w:val="0"/>
                <w:sz w:val="23"/>
                <w:szCs w:val="23"/>
              </w:rPr>
              <w:t>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09B2" w:rsidRPr="002509B2" w:rsidRDefault="002509B2" w:rsidP="002509B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509B2">
              <w:rPr>
                <w:rFonts w:ascii="Segoe UI" w:eastAsia="宋体" w:hAnsi="Segoe UI" w:cs="Segoe UI"/>
                <w:kern w:val="0"/>
                <w:sz w:val="23"/>
                <w:szCs w:val="23"/>
              </w:rPr>
              <w:t>Model /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09B2" w:rsidRPr="002509B2" w:rsidRDefault="002509B2" w:rsidP="002509B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509B2">
              <w:rPr>
                <w:rFonts w:ascii="Segoe UI" w:eastAsia="宋体" w:hAnsi="Segoe UI" w:cs="Segoe UI"/>
                <w:kern w:val="0"/>
                <w:sz w:val="23"/>
                <w:szCs w:val="23"/>
              </w:rPr>
              <w:t>Access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09B2" w:rsidRPr="002509B2" w:rsidRDefault="002509B2" w:rsidP="002509B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509B2">
              <w:rPr>
                <w:rFonts w:ascii="Segoe UI" w:eastAsia="宋体" w:hAnsi="Segoe UI" w:cs="Segoe UI"/>
                <w:kern w:val="0"/>
                <w:sz w:val="23"/>
                <w:szCs w:val="23"/>
              </w:rPr>
              <w:t>Purpose</w:t>
            </w:r>
          </w:p>
        </w:tc>
      </w:tr>
      <w:tr w:rsidR="002509B2" w:rsidRPr="002509B2" w:rsidTr="002509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09B2" w:rsidRPr="002509B2" w:rsidRDefault="002509B2" w:rsidP="002509B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2509B2">
              <w:rPr>
                <w:rFonts w:ascii="Segoe UI" w:eastAsia="宋体" w:hAnsi="Segoe UI" w:cs="Segoe UI"/>
                <w:kern w:val="0"/>
                <w:sz w:val="23"/>
                <w:szCs w:val="23"/>
              </w:rPr>
              <w:t>ChatGPT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09B2" w:rsidRPr="002509B2" w:rsidRDefault="002509B2" w:rsidP="002509B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509B2">
              <w:rPr>
                <w:rFonts w:ascii="Segoe UI" w:eastAsia="宋体" w:hAnsi="Segoe UI" w:cs="Segoe UI"/>
                <w:kern w:val="0"/>
                <w:sz w:val="23"/>
                <w:szCs w:val="23"/>
              </w:rPr>
              <w:t>GPT</w:t>
            </w:r>
            <w:r w:rsidRPr="002509B2">
              <w:rPr>
                <w:rFonts w:ascii="Segoe UI" w:eastAsia="宋体" w:hAnsi="Segoe UI" w:cs="Segoe UI"/>
                <w:kern w:val="0"/>
                <w:sz w:val="23"/>
                <w:szCs w:val="23"/>
              </w:rPr>
              <w:noBreakHyphen/>
              <w:t>4 (</w:t>
            </w:r>
            <w:proofErr w:type="spellStart"/>
            <w:r w:rsidRPr="002509B2">
              <w:rPr>
                <w:rFonts w:ascii="Segoe UI" w:eastAsia="宋体" w:hAnsi="Segoe UI" w:cs="Segoe UI"/>
                <w:kern w:val="0"/>
                <w:sz w:val="23"/>
                <w:szCs w:val="23"/>
              </w:rPr>
              <w:t>OpenAI</w:t>
            </w:r>
            <w:proofErr w:type="spellEnd"/>
            <w:r w:rsidRPr="002509B2">
              <w:rPr>
                <w:rFonts w:ascii="Segoe UI" w:eastAsia="宋体" w:hAnsi="Segoe UI" w:cs="Segoe UI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09B2" w:rsidRPr="002509B2" w:rsidRDefault="002509B2" w:rsidP="002509B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509B2">
              <w:rPr>
                <w:rFonts w:ascii="Segoe UI" w:eastAsia="宋体" w:hAnsi="Segoe UI" w:cs="Segoe UI"/>
                <w:kern w:val="0"/>
                <w:sz w:val="23"/>
                <w:szCs w:val="23"/>
              </w:rPr>
              <w:t>April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09B2" w:rsidRPr="002509B2" w:rsidRDefault="002509B2" w:rsidP="002509B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509B2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Structuring the notebook, writing markdown explanations, generating reflection report template</w:t>
            </w:r>
          </w:p>
        </w:tc>
      </w:tr>
      <w:tr w:rsidR="002509B2" w:rsidRPr="002509B2" w:rsidTr="002509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09B2" w:rsidRPr="002509B2" w:rsidRDefault="002509B2" w:rsidP="002509B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509B2">
              <w:rPr>
                <w:rFonts w:ascii="Segoe UI" w:eastAsia="宋体" w:hAnsi="Segoe UI" w:cs="Segoe UI"/>
                <w:kern w:val="0"/>
                <w:sz w:val="23"/>
                <w:szCs w:val="23"/>
              </w:rPr>
              <w:t>GitHub Copilot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09B2" w:rsidRPr="002509B2" w:rsidRDefault="002509B2" w:rsidP="002509B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509B2">
              <w:rPr>
                <w:rFonts w:ascii="Segoe UI" w:eastAsia="宋体" w:hAnsi="Segoe UI" w:cs="Segoe UI"/>
                <w:kern w:val="0"/>
                <w:sz w:val="23"/>
                <w:szCs w:val="23"/>
              </w:rPr>
              <w:t>Copilot (</w:t>
            </w:r>
            <w:proofErr w:type="spellStart"/>
            <w:r w:rsidRPr="002509B2">
              <w:rPr>
                <w:rFonts w:ascii="Segoe UI" w:eastAsia="宋体" w:hAnsi="Segoe UI" w:cs="Segoe UI"/>
                <w:kern w:val="0"/>
                <w:sz w:val="23"/>
                <w:szCs w:val="23"/>
              </w:rPr>
              <w:t>OpenAI</w:t>
            </w:r>
            <w:proofErr w:type="spellEnd"/>
            <w:r w:rsidRPr="002509B2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Codex)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09B2" w:rsidRPr="002509B2" w:rsidRDefault="002509B2" w:rsidP="002509B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509B2">
              <w:rPr>
                <w:rFonts w:ascii="Segoe UI" w:eastAsia="宋体" w:hAnsi="Segoe UI" w:cs="Segoe UI"/>
                <w:kern w:val="0"/>
                <w:sz w:val="23"/>
                <w:szCs w:val="23"/>
              </w:rPr>
              <w:t>April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09B2" w:rsidRPr="002509B2" w:rsidRDefault="002509B2" w:rsidP="002509B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509B2">
              <w:rPr>
                <w:rFonts w:ascii="Segoe UI" w:eastAsia="宋体" w:hAnsi="Segoe UI" w:cs="Segoe UI"/>
                <w:kern w:val="0"/>
                <w:sz w:val="23"/>
                <w:szCs w:val="23"/>
              </w:rPr>
              <w:t>Code completion and debugging assistance for pandas and matplotlib</w:t>
            </w:r>
          </w:p>
        </w:tc>
      </w:tr>
    </w:tbl>
    <w:p w:rsidR="002509B2" w:rsidRPr="002509B2" w:rsidRDefault="002509B2" w:rsidP="002509B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All Python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noBreakHyphen/>
        <w:t>based analysis, data interpretation, problem definition, and final conclusions remain </w:t>
      </w: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my own intellectual work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.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AI was used only as a </w:t>
      </w:r>
      <w:r w:rsidRPr="002509B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support tool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 for efficiency and learning, not as a substitute for understanding or analytical reasoning.</w:t>
      </w:r>
    </w:p>
    <w:p w:rsidR="002509B2" w:rsidRPr="002509B2" w:rsidRDefault="002509B2" w:rsidP="002509B2">
      <w:pPr>
        <w:widowControl/>
        <w:shd w:val="clear" w:color="auto" w:fill="FFFFFF"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pict>
          <v:rect id="_x0000_i1031" style="width:0;height:.75pt" o:hralign="center" o:hrstd="t" o:hr="t" fillcolor="#a0a0a0" stroked="f"/>
        </w:pict>
      </w:r>
    </w:p>
    <w:p w:rsidR="002509B2" w:rsidRPr="002509B2" w:rsidRDefault="002509B2" w:rsidP="002509B2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509B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7. Conclusion</w:t>
      </w:r>
    </w:p>
    <w:p w:rsidR="002509B2" w:rsidRPr="002509B2" w:rsidRDefault="002509B2" w:rsidP="002509B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This project successfully delivered a small but complete Python data product:</w:t>
      </w:r>
    </w:p>
    <w:p w:rsidR="002509B2" w:rsidRPr="002509B2" w:rsidRDefault="002509B2" w:rsidP="002509B2">
      <w:pPr>
        <w:widowControl/>
        <w:numPr>
          <w:ilvl w:val="0"/>
          <w:numId w:val="7"/>
        </w:numPr>
        <w:shd w:val="clear" w:color="auto" w:fill="FFFFFF"/>
        <w:spacing w:before="100" w:beforeAutospacing="1" w:line="420" w:lineRule="atLeast"/>
        <w:ind w:left="30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clear problem definition</w:t>
      </w:r>
    </w:p>
    <w:p w:rsidR="002509B2" w:rsidRPr="002509B2" w:rsidRDefault="002509B2" w:rsidP="002509B2">
      <w:pPr>
        <w:widowControl/>
        <w:numPr>
          <w:ilvl w:val="0"/>
          <w:numId w:val="7"/>
        </w:numPr>
        <w:shd w:val="clear" w:color="auto" w:fill="FFFFFF"/>
        <w:spacing w:before="100" w:beforeAutospacing="1" w:line="420" w:lineRule="atLeast"/>
        <w:ind w:left="30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real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noBreakHyphen/>
        <w:t>world financial data from WRDS</w:t>
      </w:r>
    </w:p>
    <w:p w:rsidR="002509B2" w:rsidRPr="002509B2" w:rsidRDefault="002509B2" w:rsidP="002509B2">
      <w:pPr>
        <w:widowControl/>
        <w:numPr>
          <w:ilvl w:val="0"/>
          <w:numId w:val="7"/>
        </w:numPr>
        <w:shd w:val="clear" w:color="auto" w:fill="FFFFFF"/>
        <w:spacing w:before="100" w:beforeAutospacing="1" w:line="420" w:lineRule="atLeast"/>
        <w:ind w:left="30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replicable volatility and size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noBreakHyphen/>
        <w:t>group analysis</w:t>
      </w:r>
    </w:p>
    <w:p w:rsidR="002509B2" w:rsidRPr="002509B2" w:rsidRDefault="002509B2" w:rsidP="002509B2">
      <w:pPr>
        <w:widowControl/>
        <w:numPr>
          <w:ilvl w:val="0"/>
          <w:numId w:val="7"/>
        </w:numPr>
        <w:shd w:val="clear" w:color="auto" w:fill="FFFFFF"/>
        <w:spacing w:before="100" w:beforeAutospacing="1" w:line="420" w:lineRule="atLeast"/>
        <w:ind w:left="30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actionable insight for an equity research analyst</w:t>
      </w:r>
    </w:p>
    <w:p w:rsidR="002509B2" w:rsidRPr="002509B2" w:rsidRDefault="002509B2" w:rsidP="002509B2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t>The submission meets all Track 2 requirements and demonstrates a coherent workflow from problem definition to user</w:t>
      </w:r>
      <w:r w:rsidRPr="002509B2">
        <w:rPr>
          <w:rFonts w:ascii="Segoe UI" w:eastAsia="宋体" w:hAnsi="Segoe UI" w:cs="Segoe UI"/>
          <w:color w:val="0F1115"/>
          <w:kern w:val="0"/>
          <w:sz w:val="24"/>
          <w:szCs w:val="24"/>
        </w:rPr>
        <w:noBreakHyphen/>
        <w:t>facing output.</w:t>
      </w:r>
    </w:p>
    <w:p w:rsidR="00CD74D7" w:rsidRPr="002509B2" w:rsidRDefault="00CD74D7" w:rsidP="002509B2">
      <w:pPr>
        <w:widowControl/>
        <w:shd w:val="clear" w:color="auto" w:fill="FFFFFF"/>
        <w:spacing w:before="480" w:after="480" w:line="420" w:lineRule="atLeast"/>
        <w:jc w:val="left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</w:p>
    <w:sectPr w:rsidR="00CD74D7" w:rsidRPr="002509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756565"/>
    <w:multiLevelType w:val="multilevel"/>
    <w:tmpl w:val="2E6A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E2220D"/>
    <w:multiLevelType w:val="multilevel"/>
    <w:tmpl w:val="F2B6C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B44C27"/>
    <w:multiLevelType w:val="multilevel"/>
    <w:tmpl w:val="63682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C1511F"/>
    <w:multiLevelType w:val="multilevel"/>
    <w:tmpl w:val="C496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220A74"/>
    <w:multiLevelType w:val="multilevel"/>
    <w:tmpl w:val="7AD6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D50083"/>
    <w:multiLevelType w:val="multilevel"/>
    <w:tmpl w:val="BF2E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B4A73"/>
    <w:multiLevelType w:val="multilevel"/>
    <w:tmpl w:val="A258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4108C6"/>
    <w:multiLevelType w:val="multilevel"/>
    <w:tmpl w:val="7DAA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9B2"/>
    <w:rsid w:val="002509B2"/>
    <w:rsid w:val="00CD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F1852"/>
  <w15:chartTrackingRefBased/>
  <w15:docId w15:val="{AD8A0055-B4AE-484D-85B5-CB76135DB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509B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509B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09B2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509B2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ds-markdown-paragraph">
    <w:name w:val="ds-markdown-paragraph"/>
    <w:basedOn w:val="a"/>
    <w:rsid w:val="002509B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2509B2"/>
    <w:rPr>
      <w:b/>
      <w:bCs/>
    </w:rPr>
  </w:style>
  <w:style w:type="character" w:styleId="HTML">
    <w:name w:val="HTML Code"/>
    <w:basedOn w:val="a0"/>
    <w:uiPriority w:val="99"/>
    <w:semiHidden/>
    <w:unhideWhenUsed/>
    <w:rsid w:val="002509B2"/>
    <w:rPr>
      <w:rFonts w:ascii="宋体" w:eastAsia="宋体" w:hAnsi="宋体" w:cs="宋体"/>
      <w:sz w:val="24"/>
      <w:szCs w:val="24"/>
    </w:rPr>
  </w:style>
  <w:style w:type="paragraph" w:styleId="a4">
    <w:name w:val="No Spacing"/>
    <w:uiPriority w:val="1"/>
    <w:qFormat/>
    <w:rsid w:val="002509B2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7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73877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0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8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20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706</Words>
  <Characters>4026</Characters>
  <Application>Microsoft Office Word</Application>
  <DocSecurity>0</DocSecurity>
  <Lines>33</Lines>
  <Paragraphs>9</Paragraphs>
  <ScaleCrop>false</ScaleCrop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黄紫轩</dc:creator>
  <cp:keywords/>
  <dc:description/>
  <cp:lastModifiedBy>黄紫轩</cp:lastModifiedBy>
  <cp:revision>1</cp:revision>
  <dcterms:created xsi:type="dcterms:W3CDTF">2026-04-21T13:59:00Z</dcterms:created>
  <dcterms:modified xsi:type="dcterms:W3CDTF">2026-04-21T14:07:00Z</dcterms:modified>
</cp:coreProperties>
</file>