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Strategy Pattern Calculator Report</w:t>
      </w:r>
    </w:p>
    <w:p>
      <w:r>
        <w:t xml:space="preserve">Course ShP-2216 Software Design Patterns, Astana IT University Assignment 5, Option B Calculator Repository: </w:t>
      </w:r>
      <w:hyperlink r:id="rId9">
        <w:r>
          <w:rPr>
            <w:color w:val="174A7E"/>
          </w:rPr>
          <w:t>Ziyadin23/assignment-5-strategy-pattern</w:t>
        </w:r>
      </w:hyperlink>
    </w:p>
    <w:p>
      <w:pPr>
        <w:pStyle w:val="Heading1"/>
        <w:keepNext/>
      </w:pPr>
      <w:r>
        <w:t>1 Introduction</w:t>
      </w:r>
    </w:p>
    <w:p>
      <w:r>
        <w:t xml:space="preserve">This calculator implements a family of binary arithmetic algorithms: addition, subtraction, and multiplication. Each algorithm implements </w:t>
      </w:r>
      <w:r>
        <w:rPr>
          <w:rFonts w:ascii="Noto Sans Mono" w:hAnsi="Noto Sans Mono"/>
          <w:sz w:val="18"/>
        </w:rPr>
        <w:t>OperationStrategy</w:t>
      </w:r>
      <w:r>
        <w:t xml:space="preserve">. </w:t>
      </w:r>
      <w:r>
        <w:rPr>
          <w:rFonts w:ascii="Noto Sans Mono" w:hAnsi="Noto Sans Mono"/>
          <w:sz w:val="18"/>
        </w:rPr>
        <w:t>Calculator</w:t>
      </w:r>
      <w:r>
        <w:t xml:space="preserve"> keeps the selected strategy and delegates calculations to it. The client can replace that strategy while the same calculator object is running.</w:t>
      </w:r>
    </w:p>
    <w:p>
      <w:r>
        <w:t xml:space="preserve">Strategy is a behavioral design pattern: an object changes its behavior by receiving a different implementation of a common algorithm interface. Here, the operands remain </w:t>
      </w:r>
      <w:r>
        <w:rPr>
          <w:rFonts w:ascii="Noto Sans Mono" w:hAnsi="Noto Sans Mono"/>
          <w:sz w:val="18"/>
        </w:rPr>
        <w:t>12</w:t>
      </w:r>
      <w:r>
        <w:t xml:space="preserve"> and </w:t>
      </w:r>
      <w:r>
        <w:rPr>
          <w:rFonts w:ascii="Noto Sans Mono" w:hAnsi="Noto Sans Mono"/>
          <w:sz w:val="18"/>
        </w:rPr>
        <w:t>4</w:t>
      </w:r>
      <w:r>
        <w:t xml:space="preserve">, while changing the strategy produces </w:t>
      </w:r>
      <w:r>
        <w:rPr>
          <w:rFonts w:ascii="Noto Sans Mono" w:hAnsi="Noto Sans Mono"/>
          <w:sz w:val="18"/>
        </w:rPr>
        <w:t>16</w:t>
      </w:r>
      <w:r>
        <w:t xml:space="preserve">, </w:t>
      </w:r>
      <w:r>
        <w:rPr>
          <w:rFonts w:ascii="Noto Sans Mono" w:hAnsi="Noto Sans Mono"/>
          <w:sz w:val="18"/>
        </w:rPr>
        <w:t>8</w:t>
      </w:r>
      <w:r>
        <w:t xml:space="preserve">, and </w:t>
      </w:r>
      <w:r>
        <w:rPr>
          <w:rFonts w:ascii="Noto Sans Mono" w:hAnsi="Noto Sans Mono"/>
          <w:sz w:val="18"/>
        </w:rPr>
        <w:t>48</w:t>
      </w:r>
      <w:r>
        <w:t>. A separate division extension demonstrates adding an algorithm without changing the original application classes.</w:t>
      </w:r>
    </w:p>
    <w:p>
      <w:pPr>
        <w:pStyle w:val="Heading1"/>
        <w:keepNext/>
      </w:pPr>
      <w:r>
        <w:t>2 UML class diagram</w:t>
      </w:r>
    </w:p>
    <w:p>
      <w:pPr>
        <w:jc w:val="center"/>
      </w:pPr>
      <w:r>
        <w:drawing>
          <wp:inline xmlns:a="http://schemas.openxmlformats.org/drawingml/2006/main" xmlns:pic="http://schemas.openxmlformats.org/drawingml/2006/picture">
            <wp:extent cx="6217920" cy="4318000"/>
            <wp:docPr id="1" name="Picture 1" descr="UML class diagram showing clients, Calculator context, OperationStrategy interface, and four implementations"/>
            <wp:cNvGraphicFramePr>
              <a:graphicFrameLocks noChangeAspect="1"/>
            </wp:cNvGraphicFramePr>
            <a:graphic>
              <a:graphicData uri="http://schemas.openxmlformats.org/drawingml/2006/picture">
                <pic:pic>
                  <pic:nvPicPr>
                    <pic:cNvPr id="0" name="uml.png"/>
                    <pic:cNvPicPr/>
                  </pic:nvPicPr>
                  <pic:blipFill>
                    <a:blip r:embed="rId10"/>
                    <a:stretch>
                      <a:fillRect/>
                    </a:stretch>
                  </pic:blipFill>
                  <pic:spPr>
                    <a:xfrm>
                      <a:off x="0" y="0"/>
                      <a:ext cx="6217920" cy="4318000"/>
                    </a:xfrm>
                    <a:prstGeom prst="rect"/>
                  </pic:spPr>
                </pic:pic>
              </a:graphicData>
            </a:graphic>
          </wp:inline>
        </w:drawing>
      </w:r>
    </w:p>
    <w:p>
      <w:r>
        <w:t xml:space="preserve">The editable diagram is </w:t>
      </w:r>
      <w:r>
        <w:t>uml.mmd</w:t>
      </w:r>
      <w:r>
        <w:t xml:space="preserve">; </w:t>
      </w:r>
      <w:r>
        <w:t>uml.svg</w:t>
      </w:r>
      <w:r>
        <w:t xml:space="preserve"> is a vector copy.</w:t>
      </w:r>
    </w:p>
    <w:tbl>
      <w:tblPr>
        <w:tblW w:type="auto" w:w="0"/>
        <w:jc w:val="center"/>
        <w:tblLayout w:type="fixed"/>
        <w:tblLook w:firstColumn="1" w:firstRow="1" w:lastColumn="0" w:lastRow="0" w:noHBand="0" w:noVBand="1" w:val="04A0"/>
      </w:tblPr>
      <w:tblGrid>
        <w:gridCol w:w="1843"/>
        <w:gridCol w:w="2880"/>
        <w:gridCol w:w="5112"/>
      </w:tblGrid>
      <w:tr>
        <w:trPr>
          <w:cantSplit/>
          <w:tblHeader/>
        </w:trPr>
        <w:tc>
          <w:tcPr>
            <w:tcW w:type="dxa" w:w="1843"/>
            <w:vAlign w:val="center"/>
            <w:shd w:fill="E8EEF4"/>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b/>
                <w:sz w:val="18"/>
              </w:rPr>
              <w:t>Pattern role</w:t>
            </w:r>
          </w:p>
        </w:tc>
        <w:tc>
          <w:tcPr>
            <w:tcW w:type="dxa" w:w="2880"/>
            <w:vAlign w:val="center"/>
            <w:shd w:fill="E8EEF4"/>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b/>
                <w:sz w:val="18"/>
              </w:rPr>
              <w:t>Implementation</w:t>
            </w:r>
          </w:p>
        </w:tc>
        <w:tc>
          <w:tcPr>
            <w:tcW w:type="dxa" w:w="5112"/>
            <w:vAlign w:val="center"/>
            <w:shd w:fill="E8EEF4"/>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b/>
                <w:sz w:val="18"/>
              </w:rPr>
              <w:t>Responsibility</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Strategy</w:t>
            </w:r>
          </w:p>
        </w:tc>
        <w:tc>
          <w:tcPr>
            <w:tcW w:type="dxa" w:w="288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rFonts w:ascii="Noto Sans Mono" w:hAnsi="Noto Sans Mono"/>
                <w:sz w:val="18"/>
              </w:rPr>
              <w:t>OperationStrategy</w:t>
            </w:r>
          </w:p>
        </w:tc>
        <w:tc>
          <w:tcPr>
            <w:tcW w:type="dxa" w:w="51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 xml:space="preserve">Declares </w:t>
            </w:r>
            <w:r>
              <w:rPr>
                <w:rFonts w:ascii="Noto Sans Mono" w:hAnsi="Noto Sans Mono"/>
                <w:sz w:val="18"/>
              </w:rPr>
              <w:t>execute(double left, double right)</w:t>
            </w:r>
          </w:p>
        </w:tc>
      </w:tr>
      <w:tr>
        <w:trPr>
          <w:cantSplit/>
        </w:trPr>
        <w:tc>
          <w:tcPr>
            <w:tcW w:type="dxa" w:w="1843"/>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Concrete strategies</w:t>
            </w:r>
          </w:p>
        </w:tc>
        <w:tc>
          <w:tcPr>
            <w:tcW w:type="dxa" w:w="2880"/>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rFonts w:ascii="Noto Sans Mono" w:hAnsi="Noto Sans Mono"/>
                <w:sz w:val="18"/>
              </w:rPr>
              <w:t>AddStrategy</w:t>
            </w:r>
            <w:r>
              <w:rPr>
                <w:sz w:val="18"/>
              </w:rPr>
              <w:t xml:space="preserve">, </w:t>
            </w:r>
            <w:r>
              <w:rPr>
                <w:rFonts w:ascii="Noto Sans Mono" w:hAnsi="Noto Sans Mono"/>
                <w:sz w:val="18"/>
              </w:rPr>
              <w:t>SubtractStrategy</w:t>
            </w:r>
            <w:r>
              <w:rPr>
                <w:sz w:val="18"/>
              </w:rPr>
              <w:t xml:space="preserve">, </w:t>
            </w:r>
            <w:r>
              <w:rPr>
                <w:rFonts w:ascii="Noto Sans Mono" w:hAnsi="Noto Sans Mono"/>
                <w:sz w:val="18"/>
              </w:rPr>
              <w:t>MultiplyStrategy</w:t>
            </w:r>
          </w:p>
        </w:tc>
        <w:tc>
          <w:tcPr>
            <w:tcW w:type="dxa" w:w="5112"/>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Encapsulate one arithmetic algorithm each</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Context</w:t>
            </w:r>
          </w:p>
        </w:tc>
        <w:tc>
          <w:tcPr>
            <w:tcW w:type="dxa" w:w="288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rFonts w:ascii="Noto Sans Mono" w:hAnsi="Noto Sans Mono"/>
                <w:sz w:val="18"/>
              </w:rPr>
              <w:t>Calculator</w:t>
            </w:r>
          </w:p>
        </w:tc>
        <w:tc>
          <w:tcPr>
            <w:tcW w:type="dxa" w:w="51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Stores one strategy, replaces it, and delegates execution</w:t>
            </w:r>
          </w:p>
        </w:tc>
      </w:tr>
      <w:tr>
        <w:trPr>
          <w:cantSplit/>
        </w:trPr>
        <w:tc>
          <w:tcPr>
            <w:tcW w:type="dxa" w:w="1843"/>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Client</w:t>
            </w:r>
          </w:p>
        </w:tc>
        <w:tc>
          <w:tcPr>
            <w:tcW w:type="dxa" w:w="2880"/>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rFonts w:ascii="Noto Sans Mono" w:hAnsi="Noto Sans Mono"/>
                <w:sz w:val="18"/>
              </w:rPr>
              <w:t>Main</w:t>
            </w:r>
          </w:p>
        </w:tc>
        <w:tc>
          <w:tcPr>
            <w:tcW w:type="dxa" w:w="5112"/>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Creates strategies, selects them, and handles console input</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Extension</w:t>
            </w:r>
          </w:p>
        </w:tc>
        <w:tc>
          <w:tcPr>
            <w:tcW w:type="dxa" w:w="288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rFonts w:ascii="Noto Sans Mono" w:hAnsi="Noto Sans Mono"/>
                <w:sz w:val="18"/>
              </w:rPr>
              <w:t>DivideStrategy</w:t>
            </w:r>
            <w:r>
              <w:rPr>
                <w:sz w:val="18"/>
              </w:rPr>
              <w:t xml:space="preserve"> and </w:t>
            </w:r>
            <w:r>
              <w:rPr>
                <w:rFonts w:ascii="Noto Sans Mono" w:hAnsi="Noto Sans Mono"/>
                <w:sz w:val="18"/>
              </w:rPr>
              <w:t>ExtensionDemo</w:t>
            </w:r>
          </w:p>
        </w:tc>
        <w:tc>
          <w:tcPr>
            <w:tcW w:type="dxa" w:w="51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Add division and wire it into the original context</w:t>
            </w:r>
          </w:p>
        </w:tc>
      </w:tr>
    </w:tbl>
    <w:p>
      <w:pPr>
        <w:spacing w:after="20"/>
      </w:pPr>
    </w:p>
    <w:p>
      <w:r>
        <w:t xml:space="preserve">The solid arrow from </w:t>
      </w:r>
      <w:r>
        <w:rPr>
          <w:rFonts w:ascii="Noto Sans Mono" w:hAnsi="Noto Sans Mono"/>
          <w:sz w:val="18"/>
        </w:rPr>
        <w:t>Calculator</w:t>
      </w:r>
      <w:r>
        <w:t xml:space="preserve"> to </w:t>
      </w:r>
      <w:r>
        <w:rPr>
          <w:rFonts w:ascii="Noto Sans Mono" w:hAnsi="Noto Sans Mono"/>
          <w:sz w:val="18"/>
        </w:rPr>
        <w:t>OperationStrategy</w:t>
      </w:r>
      <w:r>
        <w:t xml:space="preserve"> represents its stored reference. Dashed arrows with hollow triangles mean that concrete strategies implement the interface. Dashed arrows from the clients mean they use the context. There is no ownership diamond: the context accepts a supplied object, and a stateless strategy could be shared.</w:t>
      </w:r>
    </w:p>
    <w:p>
      <w:pPr>
        <w:pStyle w:val="Heading1"/>
        <w:keepNext/>
      </w:pPr>
      <w:r>
        <w:t>3 Clean Code principles</w:t>
      </w:r>
    </w:p>
    <w:p>
      <w:pPr>
        <w:pStyle w:val="Heading2"/>
        <w:keepNext/>
      </w:pPr>
      <w:r>
        <w:t>1 Replace algorithm selection conditionals with polymorphism</w:t>
      </w:r>
    </w:p>
    <w:p>
      <w:r>
        <w:t>A hypothetical earlier implementation would select arithmetic inside the context:</w:t>
      </w:r>
    </w:p>
    <w:p>
      <w:pPr>
        <w:pStyle w:val="CodeBlock"/>
      </w:pPr>
      <w:r>
        <w:t>// Before: illustrative code, not part of the application.</w:t>
        <w:br/>
        <w:t>return switch (operation) {</w:t>
        <w:br/>
        <w:t xml:space="preserve">    case "add" -&gt; left + right;</w:t>
        <w:br/>
        <w:t xml:space="preserve">    case "subtract" -&gt; left - right;</w:t>
        <w:br/>
        <w:t xml:space="preserve">    case "multiply" -&gt; left * right;</w:t>
        <w:br/>
        <w:t xml:space="preserve">    default -&gt; throw new IllegalArgumentException();</w:t>
        <w:br/>
        <w:t>};</w:t>
      </w:r>
    </w:p>
    <w:p>
      <w:r>
        <w:t>The actual context executes the selected object:</w:t>
      </w:r>
    </w:p>
    <w:p>
      <w:pPr>
        <w:pStyle w:val="CodeBlock"/>
      </w:pPr>
      <w:r>
        <w:t>// Calculator.calculate: Java dispatches to the selected implementation.</w:t>
        <w:br/>
        <w:t>return strategy.execute(left, right);</w:t>
      </w:r>
    </w:p>
    <w:p>
      <w:r>
        <w:t xml:space="preserve">This removes the arithmetic decision tree from </w:t>
      </w:r>
      <w:r>
        <w:rPr>
          <w:rFonts w:ascii="Noto Sans Mono" w:hAnsi="Noto Sans Mono"/>
          <w:sz w:val="18"/>
        </w:rPr>
        <w:t>Calculator</w:t>
      </w:r>
      <w:r>
        <w:t>. The client's command lookup and input validation still use control flow. Strategy removes algorithm selection from the context; it does not eliminate all program branches.</w:t>
      </w:r>
    </w:p>
    <w:p>
      <w:pPr>
        <w:pStyle w:val="Heading2"/>
        <w:keepNext/>
      </w:pPr>
      <w:r>
        <w:t>2 Use meaningful names</w:t>
      </w:r>
    </w:p>
    <w:p>
      <w:pPr>
        <w:pStyle w:val="CodeBlock"/>
      </w:pPr>
      <w:r>
        <w:t>// SubtractStrategy.execute names both the operation and operand order.</w:t>
        <w:br/>
        <w:t>public double execute(double left, double right) {</w:t>
        <w:br/>
        <w:t xml:space="preserve">    return left - right;</w:t>
        <w:br/>
        <w:t>}</w:t>
      </w:r>
    </w:p>
    <w:p>
      <w:r>
        <w:rPr>
          <w:rFonts w:ascii="Noto Sans Mono" w:hAnsi="Noto Sans Mono"/>
          <w:sz w:val="18"/>
        </w:rPr>
        <w:t>SubtractStrategy</w:t>
      </w:r>
      <w:r>
        <w:t xml:space="preserve">, </w:t>
      </w:r>
      <w:r>
        <w:rPr>
          <w:rFonts w:ascii="Noto Sans Mono" w:hAnsi="Noto Sans Mono"/>
          <w:sz w:val="18"/>
        </w:rPr>
        <w:t>left</w:t>
      </w:r>
      <w:r>
        <w:t xml:space="preserve">, and </w:t>
      </w:r>
      <w:r>
        <w:rPr>
          <w:rFonts w:ascii="Noto Sans Mono" w:hAnsi="Noto Sans Mono"/>
          <w:sz w:val="18"/>
        </w:rPr>
        <w:t>right</w:t>
      </w:r>
      <w:r>
        <w:t xml:space="preserve"> explain what happens without names such as </w:t>
      </w:r>
      <w:r>
        <w:rPr>
          <w:rFonts w:ascii="Noto Sans Mono" w:hAnsi="Noto Sans Mono"/>
          <w:sz w:val="18"/>
        </w:rPr>
        <w:t>Algorithm2</w:t>
      </w:r>
      <w:r>
        <w:t xml:space="preserve"> or </w:t>
      </w:r>
      <w:r>
        <w:rPr>
          <w:rFonts w:ascii="Noto Sans Mono" w:hAnsi="Noto Sans Mono"/>
          <w:sz w:val="18"/>
        </w:rPr>
        <w:t>x</w:t>
      </w:r>
      <w:r>
        <w:t>. Operand order matters for subtraction and division.</w:t>
      </w:r>
    </w:p>
    <w:p>
      <w:pPr>
        <w:pStyle w:val="Heading2"/>
        <w:keepNext/>
      </w:pPr>
      <w:r>
        <w:t>3 Give each class one responsibility</w:t>
      </w:r>
    </w:p>
    <w:p>
      <w:pPr>
        <w:pStyle w:val="CodeBlock"/>
      </w:pPr>
      <w:r>
        <w:t>// AddStrategy has no parsing, printing, or strategy selection.</w:t>
        <w:br/>
        <w:t>public double execute(double left, double right) {</w:t>
        <w:br/>
        <w:t xml:space="preserve">    return left + right;</w:t>
        <w:br/>
        <w:t>}</w:t>
      </w:r>
    </w:p>
    <w:p>
      <w:r>
        <w:t xml:space="preserve">An arithmetic change belongs to its strategy. A console interaction change belongs to </w:t>
      </w:r>
      <w:r>
        <w:rPr>
          <w:rFonts w:ascii="Noto Sans Mono" w:hAnsi="Noto Sans Mono"/>
          <w:sz w:val="18"/>
        </w:rPr>
        <w:t>Main</w:t>
      </w:r>
      <w:r>
        <w:t xml:space="preserve">. </w:t>
      </w:r>
      <w:r>
        <w:rPr>
          <w:rFonts w:ascii="Noto Sans Mono" w:hAnsi="Noto Sans Mono"/>
          <w:sz w:val="18"/>
        </w:rPr>
        <w:t>Calculator</w:t>
      </w:r>
      <w:r>
        <w:t xml:space="preserve"> manages delegation. Separating these reasons to change keeps each class small and focused.</w:t>
      </w:r>
    </w:p>
    <w:p>
      <w:pPr>
        <w:pStyle w:val="Heading2"/>
        <w:keepNext/>
      </w:pPr>
      <w:r>
        <w:t>4 Depend on an abstraction</w:t>
      </w:r>
    </w:p>
    <w:p>
      <w:pPr>
        <w:pStyle w:val="CodeBlock"/>
      </w:pPr>
      <w:r>
        <w:t>// Calculator stores the contract, not AddStrategy or another concrete type.</w:t>
        <w:br/>
        <w:t>private OperationStrategy strategy;</w:t>
        <w:br/>
        <w:br/>
        <w:t>public Calculator(OperationStrategy strategy) {</w:t>
        <w:br/>
        <w:t xml:space="preserve">    setStrategy(strategy);</w:t>
        <w:br/>
        <w:t>}</w:t>
      </w:r>
    </w:p>
    <w:p>
      <w:r>
        <w:t>The context knows only the common interface. A test supplies an unfamiliar implementation and verifies that the context forwards both operands once. This is dependency inversion and makes isolated testing straightforward.</w:t>
      </w:r>
    </w:p>
    <w:p>
      <w:pPr>
        <w:pStyle w:val="Heading2"/>
        <w:keepNext/>
      </w:pPr>
      <w:r>
        <w:t>5 Extend behavior without modifying stable classes</w:t>
      </w:r>
    </w:p>
    <w:p>
      <w:pPr>
        <w:pStyle w:val="CodeBlock"/>
      </w:pPr>
      <w:r>
        <w:t>// In the new ExtensionDemo client:</w:t>
        <w:br/>
        <w:t>calculator.setStrategy(new DivideStrategy());</w:t>
        <w:br/>
        <w:t>System.out.println("DivideStrategy: " + calculator.calculate(12, 4));</w:t>
      </w:r>
    </w:p>
    <w:p>
      <w:r>
        <w:rPr>
          <w:rFonts w:ascii="Noto Sans Mono" w:hAnsi="Noto Sans Mono"/>
          <w:sz w:val="18"/>
        </w:rPr>
        <w:t>DivideStrategy</w:t>
      </w:r>
      <w:r>
        <w:t xml:space="preserve"> implements the existing interface. The division extension commit adds two production classes and changes no original Java class. The context and the three original algorithms therefore stay closed to this change while accepting the new behavior. Client wiring is still necessary; this example places it in a new client. Adding a division command to the original interactive menu would require changing that client's registry.</w:t>
      </w:r>
    </w:p>
    <w:p>
      <w:pPr>
        <w:pStyle w:val="Heading2"/>
        <w:keepNext/>
      </w:pPr>
      <w:r>
        <w:t>6 Keep methods small and cohesive</w:t>
      </w:r>
    </w:p>
    <w:p>
      <w:pPr>
        <w:pStyle w:val="CodeBlock"/>
      </w:pPr>
      <w:r>
        <w:t>// One method updates the strategy and checks its invariant.</w:t>
        <w:br/>
        <w:t>public void setStrategy(OperationStrategy strategy) {</w:t>
        <w:br/>
        <w:t xml:space="preserve">    this.strategy = Objects.requireNonNull(strategy, "Strategy must not be null");</w:t>
        <w:br/>
        <w:t>}</w:t>
      </w:r>
    </w:p>
    <w:p>
      <w:r>
        <w:t xml:space="preserve">The setter only replaces a valid reference; </w:t>
      </w:r>
      <w:r>
        <w:rPr>
          <w:rFonts w:ascii="Noto Sans Mono" w:hAnsi="Noto Sans Mono"/>
          <w:sz w:val="18"/>
        </w:rPr>
        <w:t>calculate</w:t>
      </w:r>
      <w:r>
        <w:t xml:space="preserve"> only delegates. </w:t>
      </w:r>
      <w:r>
        <w:rPr>
          <w:rFonts w:ascii="Noto Sans Mono" w:hAnsi="Noto Sans Mono"/>
          <w:sz w:val="18"/>
        </w:rPr>
        <w:t>Main.runInteractive</w:t>
      </w:r>
      <w:r>
        <w:t xml:space="preserve"> manages the input loop, and </w:t>
      </w:r>
      <w:r>
        <w:rPr>
          <w:rFonts w:ascii="Noto Sans Mono" w:hAnsi="Noto Sans Mono"/>
          <w:sz w:val="18"/>
        </w:rPr>
        <w:t>executeCommand</w:t>
      </w:r>
      <w:r>
        <w:t xml:space="preserve"> processes one command. A null replacement fails before assignment, preserving the previous strategy. These boundaries make behavior easy to read and test.</w:t>
      </w:r>
    </w:p>
    <w:p>
      <w:pPr>
        <w:pStyle w:val="Heading1"/>
        <w:keepNext/>
      </w:pPr>
      <w:r>
        <w:t>4 Verification and runtime demonstration</w:t>
      </w:r>
    </w:p>
    <w:p>
      <w:r>
        <w:t>Run with JDK 17 and Bash:</w:t>
      </w:r>
    </w:p>
    <w:p>
      <w:pPr>
        <w:pStyle w:val="CodeBlock"/>
      </w:pPr>
      <w:r>
        <w:t>./scripts/run.sh</w:t>
        <w:br/>
        <w:t>./scripts/run.sh --interactive</w:t>
        <w:br/>
        <w:t>./scripts/extension.sh</w:t>
        <w:br/>
        <w:t>./scripts/test.sh</w:t>
      </w:r>
    </w:p>
    <w:p>
      <w:r>
        <w:t xml:space="preserve">The default demo reuses one context and prints </w:t>
      </w:r>
      <w:r>
        <w:rPr>
          <w:rFonts w:ascii="Noto Sans Mono" w:hAnsi="Noto Sans Mono"/>
          <w:sz w:val="18"/>
        </w:rPr>
        <w:t>16.0</w:t>
      </w:r>
      <w:r>
        <w:t xml:space="preserve">, </w:t>
      </w:r>
      <w:r>
        <w:rPr>
          <w:rFonts w:ascii="Noto Sans Mono" w:hAnsi="Noto Sans Mono"/>
          <w:sz w:val="18"/>
        </w:rPr>
        <w:t>8.0</w:t>
      </w:r>
      <w:r>
        <w:t xml:space="preserve">, and </w:t>
      </w:r>
      <w:r>
        <w:rPr>
          <w:rFonts w:ascii="Noto Sans Mono" w:hAnsi="Noto Sans Mono"/>
          <w:sz w:val="18"/>
        </w:rPr>
        <w:t>48.0</w:t>
      </w:r>
      <w:r>
        <w:t xml:space="preserve">. The extension reuses another single context and prints </w:t>
      </w:r>
      <w:r>
        <w:rPr>
          <w:rFonts w:ascii="Noto Sans Mono" w:hAnsi="Noto Sans Mono"/>
          <w:sz w:val="18"/>
        </w:rPr>
        <w:t>16.0</w:t>
      </w:r>
      <w:r>
        <w:t xml:space="preserve">, </w:t>
      </w:r>
      <w:r>
        <w:rPr>
          <w:rFonts w:ascii="Noto Sans Mono" w:hAnsi="Noto Sans Mono"/>
          <w:sz w:val="18"/>
        </w:rPr>
        <w:t>3.0</w:t>
      </w:r>
      <w:r>
        <w:t xml:space="preserve">, and </w:t>
      </w:r>
      <w:r>
        <w:rPr>
          <w:rFonts w:ascii="Noto Sans Mono" w:hAnsi="Noto Sans Mono"/>
          <w:sz w:val="18"/>
        </w:rPr>
        <w:t>48.0</w:t>
      </w:r>
      <w:r>
        <w:t>. All 34 named tests pass: 27 cover the core and console, and seven cover division. Tests check arithmetic, switching back to a previous strategy, delegation, null handling, invalid input recovery, and both signed zero divisors. They use explicit assertions and a failing process status without external libraries.</w:t>
      </w:r>
    </w:p>
    <w:p>
      <w:r>
        <w:t xml:space="preserve">The project compiles with </w:t>
      </w:r>
      <w:r>
        <w:rPr>
          <w:rFonts w:ascii="Noto Sans Mono" w:hAnsi="Noto Sans Mono"/>
          <w:sz w:val="18"/>
        </w:rPr>
        <w:t>--release 17 -Xlint:all -Werror</w:t>
      </w:r>
      <w:r>
        <w:t xml:space="preserve">. Arithmetic uses </w:t>
      </w:r>
      <w:r>
        <w:rPr>
          <w:rFonts w:ascii="Noto Sans Mono" w:hAnsi="Noto Sans Mono"/>
          <w:sz w:val="18"/>
        </w:rPr>
        <w:t>double</w:t>
      </w:r>
      <w:r>
        <w:t>, so decimal rounding and overflow follow Java behavior. The console rejects non-finite input; division rejects zero. The example is single-threaded.</w:t>
      </w:r>
    </w:p>
    <w:p>
      <w:pPr>
        <w:pStyle w:val="Heading1"/>
        <w:keepNext/>
      </w:pPr>
      <w:r>
        <w:t>5 Advantages and disadvantages</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4896"/>
            <w:vAlign w:val="center"/>
            <w:shd w:fill="E8EEF4"/>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b/>
                <w:sz w:val="18"/>
              </w:rPr>
              <w:t>Advantages in this project</w:t>
            </w:r>
          </w:p>
        </w:tc>
        <w:tc>
          <w:tcPr>
            <w:tcW w:type="dxa" w:w="4896"/>
            <w:vAlign w:val="center"/>
            <w:shd w:fill="E8EEF4"/>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b/>
                <w:sz w:val="18"/>
              </w:rPr>
              <w:t>Costs and limitations</w:t>
            </w:r>
          </w:p>
        </w:tc>
      </w:tr>
      <w:tr>
        <w:trPr>
          <w:cantSplit/>
        </w:trPr>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Algorithms can change independently</w:t>
            </w:r>
          </w:p>
        </w:tc>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Each named algorithm adds a small class</w:t>
            </w:r>
          </w:p>
        </w:tc>
      </w:tr>
      <w:tr>
        <w:trPr>
          <w:cantSplit/>
        </w:trPr>
        <w:tc>
          <w:tcPr>
            <w:tcW w:type="dxa" w:w="4896"/>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One context changes behavior at runtime</w:t>
            </w:r>
          </w:p>
        </w:tc>
        <w:tc>
          <w:tcPr>
            <w:tcW w:type="dxa" w:w="4896"/>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Clients must know which strategy to select</w:t>
            </w:r>
          </w:p>
        </w:tc>
      </w:tr>
      <w:tr>
        <w:trPr>
          <w:cantSplit/>
        </w:trPr>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New strategies reuse the original context</w:t>
            </w:r>
          </w:p>
        </w:tc>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60" w:before="60"/>
            </w:pPr>
            <w:r>
              <w:rPr>
                <w:sz w:val="18"/>
              </w:rPr>
              <w:t>New client wiring or registration is still needed</w:t>
            </w:r>
          </w:p>
        </w:tc>
      </w:tr>
      <w:tr>
        <w:trPr>
          <w:cantSplit/>
        </w:trPr>
        <w:tc>
          <w:tcPr>
            <w:tcW w:type="dxa" w:w="4896"/>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Algorithms and delegation can be tested separately</w:t>
            </w:r>
          </w:p>
        </w:tc>
        <w:tc>
          <w:tcPr>
            <w:tcW w:type="dxa" w:w="4896"/>
            <w:vAlign w:val="center"/>
            <w:shd w:fill="F5F7FA"/>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val="0"/>
              <w:spacing w:after="60" w:before="60"/>
            </w:pPr>
            <w:r>
              <w:rPr>
                <w:sz w:val="18"/>
              </w:rPr>
              <w:t>More indirection can be excessive for three simple operations</w:t>
            </w:r>
          </w:p>
        </w:tc>
      </w:tr>
    </w:tbl>
    <w:p>
      <w:pPr>
        <w:spacing w:after="20"/>
      </w:pPr>
    </w:p>
    <w:p>
      <w:pPr>
        <w:pStyle w:val="Heading1"/>
        <w:keepNext/>
      </w:pPr>
      <w:r>
        <w:t>6 Conclusion</w:t>
      </w:r>
    </w:p>
    <w:p>
      <w:r>
        <w:t>The calculator gains runtime flexibility through one interface and a replaceable reference. Division shows that the original context does not need to grow with the algorithm family. The cost is extra classes and client configuration. For a tiny fixed calculator a conditional would be shorter; this design becomes more useful as algorithms grow or change independently.</w:t>
      </w:r>
    </w:p>
    <w:p>
      <w:pPr>
        <w:pStyle w:val="Heading1"/>
        <w:keepNext/>
      </w:pPr>
      <w:r>
        <w:t>References</w:t>
      </w:r>
    </w:p>
    <w:p>
      <w:pPr>
        <w:pStyle w:val="ListBullet"/>
      </w:pPr>
      <w:r>
        <w:t>Assignment 5 Strategy Pattern Instructions, supplied course document, sections 2 through 5.</w:t>
      </w:r>
    </w:p>
    <w:p>
      <w:pPr>
        <w:pStyle w:val="ListBullet"/>
      </w:pPr>
      <w:hyperlink r:id="rId11">
        <w:r>
          <w:rPr>
            <w:color w:val="174A7E"/>
          </w:rPr>
          <w:t>Refactoring Guru Strategy</w:t>
        </w:r>
      </w:hyperlink>
      <w:r>
        <w:t>, pattern roles and tradeoffs.</w:t>
      </w:r>
    </w:p>
    <w:p>
      <w:pPr>
        <w:pStyle w:val="ListBullet"/>
      </w:pPr>
      <w:hyperlink r:id="rId12">
        <w:r>
          <w:rPr>
            <w:color w:val="174A7E"/>
          </w:rPr>
          <w:t>Oracle Java 17 Objects</w:t>
        </w:r>
      </w:hyperlink>
      <w:r>
        <w:t xml:space="preserve">, </w:t>
      </w:r>
      <w:r>
        <w:rPr>
          <w:rFonts w:ascii="Noto Sans Mono" w:hAnsi="Noto Sans Mono"/>
          <w:sz w:val="18"/>
        </w:rPr>
        <w:t>requireNonNull</w:t>
      </w:r>
      <w:r>
        <w:t xml:space="preserve"> contract.</w:t>
      </w:r>
    </w:p>
    <w:p>
      <w:r>
        <w:t xml:space="preserve">Repository: </w:t>
      </w:r>
      <w:hyperlink r:id="rId9">
        <w:r>
          <w:rPr>
            <w:color w:val="174A7E"/>
          </w:rPr>
          <w:t>https://github.com/Ziyadin23/assignment-5-strategy-pattern</w:t>
        </w:r>
      </w:hyperlink>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w:hAnsi="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oto Sans" w:hAnsi="Noto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Noto Sans" w:hAnsi="Noto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Noto Sans" w:hAnsi="Noto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40" w:line="240" w:lineRule="auto"/>
      <w:ind w:left="115"/>
    </w:pPr>
    <w:rPr>
      <w:rFonts w:ascii="Noto Sans Mono" w:hAnsi="Noto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iyadin23/assignment-5-strategy-pattern" TargetMode="External"/><Relationship Id="rId10" Type="http://schemas.openxmlformats.org/officeDocument/2006/relationships/image" Target="media/image1.png"/><Relationship Id="rId11" Type="http://schemas.openxmlformats.org/officeDocument/2006/relationships/hyperlink" Target="https://refactoring.guru/design-patterns/strategy" TargetMode="External"/><Relationship Id="rId12" Type="http://schemas.openxmlformats.org/officeDocument/2006/relationships/hyperlink" Target="https://docs.oracle.com/en/java/javase/17/docs/api/java.base/java/util/Obje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Pattern Calculator Report</dc:title>
  <dc:subject>Assignment 5 Software Design Patterns</dc:subject>
  <dc:creator/>
  <cp:keywords>Strategy, Java 17, UML, Calculator</cp:keywords>
  <dc:description>generated by python-docx</dc:description>
  <cp:lastModifiedBy/>
  <cp:revision>1</cp:revision>
  <dcterms:created xsi:type="dcterms:W3CDTF">2013-12-23T23:15:00Z</dcterms:created>
  <dcterms:modified xsi:type="dcterms:W3CDTF">2013-12-23T23:15:00Z</dcterms:modified>
  <cp:category/>
</cp:coreProperties>
</file>