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4501" w14:textId="77777777" w:rsidR="00182870" w:rsidRDefault="00000000">
      <w:pPr>
        <w:pStyle w:val="Heading1"/>
      </w:pPr>
      <w:r>
        <w:t>Executive Decision Memo</w:t>
      </w:r>
    </w:p>
    <w:p w14:paraId="2120ED17" w14:textId="77777777" w:rsidR="00182870" w:rsidRDefault="00000000">
      <w:r>
        <w:rPr>
          <w:i/>
        </w:rPr>
        <w:t>Company-Calibrated Synthetic Dataset for Academic Analysis — illustrative figures, calibrated to Nestle Pakistan's disclosed scale, not actual company records.</w:t>
      </w:r>
    </w:p>
    <w:p w14:paraId="073447E7" w14:textId="77777777" w:rsidR="00182870" w:rsidRDefault="00000000">
      <w:r>
        <w:rPr>
          <w:b/>
        </w:rPr>
        <w:t>To:</w:t>
      </w:r>
      <w:r>
        <w:t xml:space="preserve"> Head of Supply Chain (cc: Sales &amp; Marketing, Operations &amp; Production, Procurement, Finance)</w:t>
      </w:r>
    </w:p>
    <w:p w14:paraId="7BB71366" w14:textId="77777777" w:rsidR="00182870" w:rsidRDefault="00000000">
      <w:r>
        <w:rPr>
          <w:b/>
        </w:rPr>
        <w:t>From:</w:t>
      </w:r>
      <w:r>
        <w:t xml:space="preserve"> Muhammad Ziyam, ERP ID 28359 | Supply Chain Analytics (MGT-353) | Instructor: Faisal Jalal</w:t>
      </w:r>
    </w:p>
    <w:p w14:paraId="39702FE2" w14:textId="77777777" w:rsidR="00182870" w:rsidRDefault="00000000">
      <w:r>
        <w:rPr>
          <w:b/>
        </w:rPr>
        <w:t>Date:</w:t>
      </w:r>
      <w:r>
        <w:t xml:space="preserve"> 8 October 2026</w:t>
      </w:r>
    </w:p>
    <w:p w14:paraId="1FE9C672" w14:textId="77777777" w:rsidR="00182870" w:rsidRDefault="00000000">
      <w:r>
        <w:rPr>
          <w:b/>
        </w:rPr>
        <w:t>Subject:</w:t>
      </w:r>
      <w:r>
        <w:t xml:space="preserve"> 12-week supply plan for Nestlé Fruita Vitals 200ml, 29 Dec 2025 – 22 Mar 2026</w:t>
      </w:r>
    </w:p>
    <w:p w14:paraId="666ED8FB" w14:textId="77777777" w:rsidR="00182870" w:rsidRDefault="00000000">
      <w:pPr>
        <w:pStyle w:val="Heading2"/>
      </w:pPr>
      <w:r>
        <w:t>Recommendation</w:t>
      </w:r>
    </w:p>
    <w:p w14:paraId="4586FFA8" w14:textId="77777777" w:rsidR="00182870" w:rsidRDefault="00000000">
      <w:r>
        <w:t xml:space="preserve">Commit firm orders for packaging and concentrate against 100% of the forecast: about </w:t>
      </w:r>
      <w:r>
        <w:rPr>
          <w:b/>
        </w:rPr>
        <w:t>9.4 million packs</w:t>
      </w:r>
      <w:r>
        <w:t xml:space="preserve"> (about 780,000 a week; realistic range 8.9–9.8 million). Hold about </w:t>
      </w:r>
      <w:r>
        <w:rPr>
          <w:b/>
        </w:rPr>
        <w:t xml:space="preserve">1.2 million packs (1.5 weeks) of </w:t>
      </w:r>
      <w:proofErr w:type="gramStart"/>
      <w:r>
        <w:rPr>
          <w:b/>
        </w:rPr>
        <w:t>opening stock</w:t>
      </w:r>
      <w:proofErr w:type="gramEnd"/>
      <w:r>
        <w:t>, staged before the week of 9 February, and keep flexible supply for up to 10% of weekly volume. This is the operational plan. The forecast is expected demand; any Sales target above it needs named actions (each extra promotion week adds about 200,000 packs), not silent extra supply.</w:t>
      </w:r>
    </w:p>
    <w:p w14:paraId="670AAE24" w14:textId="77777777" w:rsidR="00182870" w:rsidRDefault="00000000">
      <w:pPr>
        <w:pStyle w:val="Heading2"/>
      </w:pPr>
      <w:r>
        <w:t>Evidence</w:t>
      </w:r>
    </w:p>
    <w:p w14:paraId="1FC77A50" w14:textId="77777777" w:rsidR="00182870" w:rsidRDefault="00000000">
      <w:pPr>
        <w:pStyle w:val="ListParagraph"/>
        <w:numPr>
          <w:ilvl w:val="0"/>
          <w:numId w:val="2"/>
        </w:numPr>
      </w:pPr>
      <w:r>
        <w:rPr>
          <w:b/>
        </w:rPr>
        <w:t>Demand pattern:</w:t>
      </w:r>
      <w:r>
        <w:t xml:space="preserve"> about 822,000 packs a week, growing about 3% a year, with a heat-driven cycle (June about 960,000, December about 660,000). Promotion weeks run about 20% higher.</w:t>
      </w:r>
    </w:p>
    <w:p w14:paraId="42AC23BB" w14:textId="77777777" w:rsidR="00182870" w:rsidRDefault="00000000">
      <w:pPr>
        <w:pStyle w:val="ListParagraph"/>
        <w:numPr>
          <w:ilvl w:val="0"/>
          <w:numId w:val="2"/>
        </w:numPr>
      </w:pPr>
      <w:r>
        <w:rPr>
          <w:b/>
        </w:rPr>
        <w:t>Accuracy on 12 unseen weeks</w:t>
      </w:r>
      <w:r>
        <w:t xml:space="preserve"> (Error = Actual − Forecast): regression MAPE 6.2%, WAPE 6.4%, typical miss about 47,000 packs a week, bias +15,000 (slightly under-forecast), tracking signal +4.0 (at the ±4 limit). It beat the seasonal model and naive at all 10 rolling </w:t>
      </w:r>
      <w:proofErr w:type="spellStart"/>
      <w:r>
        <w:t>backtests</w:t>
      </w:r>
      <w:proofErr w:type="spellEnd"/>
      <w:r>
        <w:t xml:space="preserve"> (average MAPE 6.4% vs 11.7% and 13.9%). No leakage found.</w:t>
      </w:r>
    </w:p>
    <w:p w14:paraId="60E3A083" w14:textId="77777777" w:rsidR="00182870" w:rsidRDefault="00000000">
      <w:pPr>
        <w:pStyle w:val="ListParagraph"/>
        <w:numPr>
          <w:ilvl w:val="0"/>
          <w:numId w:val="2"/>
        </w:numPr>
      </w:pPr>
      <w:r>
        <w:rPr>
          <w:b/>
        </w:rPr>
        <w:t>Drivers</w:t>
      </w:r>
      <w:r>
        <w:t xml:space="preserve"> (associations, not proven causes): promotion week about +199,000 packs; Ramadan/Eid week about +89,000; each +1°C about +17,000; stockout week about −177,000. Price cannot be separated from the trend, so I recommend no price change.</w:t>
      </w:r>
    </w:p>
    <w:p w14:paraId="1791AACB" w14:textId="77777777" w:rsidR="00182870" w:rsidRDefault="00000000">
      <w:pPr>
        <w:pStyle w:val="ListParagraph"/>
        <w:numPr>
          <w:ilvl w:val="0"/>
          <w:numId w:val="2"/>
        </w:numPr>
      </w:pPr>
      <w:r>
        <w:rPr>
          <w:b/>
        </w:rPr>
        <w:t>Why this policy:</w:t>
      </w:r>
      <w:r>
        <w:t xml:space="preserve"> across 12 stress scenarios it has the smallest worst-case regret (PKR 9.3m vs 14.6m for the next best). The buffer costs about PKR 2.3m extra in the base case.</w:t>
      </w:r>
    </w:p>
    <w:p w14:paraId="4A51E21F" w14:textId="77777777" w:rsidR="00182870" w:rsidRDefault="00000000">
      <w:pPr>
        <w:pStyle w:val="Heading2"/>
      </w:pPr>
      <w:r>
        <w:t>Risk</w:t>
      </w:r>
    </w:p>
    <w:p w14:paraId="425C97D4" w14:textId="77777777" w:rsidR="00182870" w:rsidRDefault="00000000">
      <w:pPr>
        <w:pStyle w:val="ListParagraph"/>
        <w:numPr>
          <w:ilvl w:val="0"/>
          <w:numId w:val="3"/>
        </w:numPr>
      </w:pPr>
      <w:r>
        <w:t>A two-week packaging delay would still lose about 154,000 packs (fill rate 98.4%).</w:t>
      </w:r>
    </w:p>
    <w:p w14:paraId="75396E50" w14:textId="77777777" w:rsidR="00182870" w:rsidRDefault="00000000">
      <w:pPr>
        <w:pStyle w:val="ListParagraph"/>
        <w:numPr>
          <w:ilvl w:val="0"/>
          <w:numId w:val="3"/>
        </w:numPr>
      </w:pPr>
      <w:r>
        <w:t>Demand 20% below plan would leave about 1.3 million excess packs and about PKR 153 million peak working capital.</w:t>
      </w:r>
    </w:p>
    <w:p w14:paraId="3749EC26" w14:textId="77777777" w:rsidR="00182870" w:rsidRDefault="00000000">
      <w:pPr>
        <w:pStyle w:val="ListParagraph"/>
        <w:numPr>
          <w:ilvl w:val="0"/>
          <w:numId w:val="3"/>
        </w:numPr>
      </w:pPr>
      <w:r>
        <w:t xml:space="preserve">Largest forecast misses: December weeks </w:t>
      </w:r>
      <w:proofErr w:type="gramStart"/>
      <w:r>
        <w:t>under-forecast</w:t>
      </w:r>
      <w:proofErr w:type="gramEnd"/>
      <w:r>
        <w:t xml:space="preserve"> and shallow promotions </w:t>
      </w:r>
      <w:proofErr w:type="gramStart"/>
      <w:r>
        <w:t>over-forecast</w:t>
      </w:r>
      <w:proofErr w:type="gramEnd"/>
      <w:r>
        <w:t>.</w:t>
      </w:r>
    </w:p>
    <w:p w14:paraId="29F535AA" w14:textId="77777777" w:rsidR="00182870" w:rsidRDefault="00000000">
      <w:pPr>
        <w:pStyle w:val="ListParagraph"/>
        <w:numPr>
          <w:ilvl w:val="0"/>
          <w:numId w:val="3"/>
        </w:numPr>
      </w:pPr>
      <w:r>
        <w:t>The buffer pays only if a supply delay or 20% demand surge is more than about 15% likely. Margin (PKR 22), unit cost (PKR 50) and capacity (1.1M packs a week) are my assumptions.</w:t>
      </w:r>
    </w:p>
    <w:p w14:paraId="3F1875A7" w14:textId="77777777" w:rsidR="00182870" w:rsidRDefault="00000000">
      <w:pPr>
        <w:pStyle w:val="Heading2"/>
      </w:pPr>
      <w:r>
        <w:t>Review trigger</w:t>
      </w:r>
    </w:p>
    <w:p w14:paraId="286658AB" w14:textId="77777777" w:rsidR="00182870" w:rsidRDefault="00000000">
      <w:r>
        <w:t>Reforecast if any of these occurs: the first two weeks fall outside 1.22–1.49 million packs (±10%); the tracking signal moves outside ±4; four-week demand is more than 10% off forecast; a packaging delivery slips by more than one week; or the Ramadan or Eid date moves.</w:t>
      </w:r>
    </w:p>
    <w:p w14:paraId="79645928" w14:textId="77777777" w:rsidR="00182870" w:rsidRDefault="00000000">
      <w:r>
        <w:rPr>
          <w:i/>
        </w:rPr>
        <w:t>Data are synthetic and the effects were built in, so these results demonstrate method, not real-world proof.</w:t>
      </w:r>
    </w:p>
    <w:sectPr w:rsidR="00182870" w:rsidSect="005550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71CB" w14:textId="77777777" w:rsidR="00F82DCA" w:rsidRDefault="00F82DCA" w:rsidP="005550E2">
      <w:pPr>
        <w:spacing w:after="0" w:line="240" w:lineRule="auto"/>
      </w:pPr>
      <w:r>
        <w:separator/>
      </w:r>
    </w:p>
  </w:endnote>
  <w:endnote w:type="continuationSeparator" w:id="0">
    <w:p w14:paraId="76846F23" w14:textId="77777777" w:rsidR="00F82DCA" w:rsidRDefault="00F82DCA" w:rsidP="00555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59CE" w14:textId="77777777" w:rsidR="005550E2" w:rsidRDefault="005550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4C03" w14:textId="77777777" w:rsidR="005550E2" w:rsidRDefault="005550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3D1E" w14:textId="77777777" w:rsidR="005550E2" w:rsidRDefault="00555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D8D54" w14:textId="77777777" w:rsidR="00F82DCA" w:rsidRDefault="00F82DCA" w:rsidP="005550E2">
      <w:pPr>
        <w:spacing w:after="0" w:line="240" w:lineRule="auto"/>
      </w:pPr>
      <w:r>
        <w:separator/>
      </w:r>
    </w:p>
  </w:footnote>
  <w:footnote w:type="continuationSeparator" w:id="0">
    <w:p w14:paraId="118F4FE8" w14:textId="77777777" w:rsidR="00F82DCA" w:rsidRDefault="00F82DCA" w:rsidP="00555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80AE" w14:textId="77777777" w:rsidR="005550E2" w:rsidRDefault="005550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5055379"/>
      <w:docPartObj>
        <w:docPartGallery w:val="Watermarks"/>
        <w:docPartUnique/>
      </w:docPartObj>
    </w:sdtPr>
    <w:sdtContent>
      <w:p w14:paraId="2A031930" w14:textId="7C8C54E6" w:rsidR="005550E2" w:rsidRDefault="005550E2">
        <w:pPr>
          <w:pStyle w:val="Header"/>
        </w:pPr>
        <w:r>
          <w:rPr>
            <w:noProof/>
          </w:rPr>
          <w:pict w14:anchorId="59DF732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14783" o:spid="_x0000_s1025" type="#_x0000_t136" style="position:absolute;margin-left:0;margin-top:0;width:507.6pt;height:253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EM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69E5" w14:textId="77777777" w:rsidR="005550E2" w:rsidRDefault="005550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2B25"/>
    <w:multiLevelType w:val="hybridMultilevel"/>
    <w:tmpl w:val="BDEA3ECA"/>
    <w:lvl w:ilvl="0" w:tplc="5DE0F318">
      <w:start w:val="1"/>
      <w:numFmt w:val="decimal"/>
      <w:lvlText w:val="%1."/>
      <w:lvlJc w:val="left"/>
      <w:pPr>
        <w:ind w:left="720" w:hanging="360"/>
      </w:pPr>
    </w:lvl>
    <w:lvl w:ilvl="1" w:tplc="944CD2FC">
      <w:start w:val="1"/>
      <w:numFmt w:val="lowerLetter"/>
      <w:lvlText w:val="%2."/>
      <w:lvlJc w:val="left"/>
      <w:pPr>
        <w:ind w:left="1440" w:hanging="360"/>
      </w:pPr>
    </w:lvl>
    <w:lvl w:ilvl="2" w:tplc="B3CE9C5C">
      <w:start w:val="1"/>
      <w:numFmt w:val="lowerRoman"/>
      <w:lvlText w:val="%3."/>
      <w:lvlJc w:val="left"/>
      <w:pPr>
        <w:ind w:left="2160" w:hanging="360"/>
      </w:pPr>
    </w:lvl>
    <w:lvl w:ilvl="3" w:tplc="1B8AD45E">
      <w:start w:val="1"/>
      <w:numFmt w:val="decimal"/>
      <w:lvlText w:val="%4."/>
      <w:lvlJc w:val="left"/>
      <w:pPr>
        <w:ind w:left="2880" w:hanging="360"/>
      </w:pPr>
    </w:lvl>
    <w:lvl w:ilvl="4" w:tplc="BD4EEC86">
      <w:start w:val="1"/>
      <w:numFmt w:val="lowerLetter"/>
      <w:lvlText w:val="%5."/>
      <w:lvlJc w:val="left"/>
      <w:pPr>
        <w:ind w:left="3600" w:hanging="360"/>
      </w:pPr>
    </w:lvl>
    <w:lvl w:ilvl="5" w:tplc="51988C82">
      <w:start w:val="1"/>
      <w:numFmt w:val="lowerRoman"/>
      <w:lvlText w:val="%6."/>
      <w:lvlJc w:val="left"/>
      <w:pPr>
        <w:ind w:left="4320" w:hanging="360"/>
      </w:pPr>
    </w:lvl>
    <w:lvl w:ilvl="6" w:tplc="E0C20AD0">
      <w:start w:val="1"/>
      <w:numFmt w:val="decimal"/>
      <w:lvlText w:val="%7."/>
      <w:lvlJc w:val="left"/>
      <w:pPr>
        <w:ind w:left="5040" w:hanging="360"/>
      </w:pPr>
    </w:lvl>
    <w:lvl w:ilvl="7" w:tplc="33887484">
      <w:start w:val="1"/>
      <w:numFmt w:val="lowerLetter"/>
      <w:lvlText w:val="%8."/>
      <w:lvlJc w:val="left"/>
      <w:pPr>
        <w:ind w:left="5760" w:hanging="360"/>
      </w:pPr>
    </w:lvl>
    <w:lvl w:ilvl="8" w:tplc="824E874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02721F5"/>
    <w:multiLevelType w:val="hybridMultilevel"/>
    <w:tmpl w:val="BF92E792"/>
    <w:lvl w:ilvl="0" w:tplc="632AA520">
      <w:start w:val="1"/>
      <w:numFmt w:val="bullet"/>
      <w:lvlText w:val="•"/>
      <w:lvlJc w:val="left"/>
      <w:pPr>
        <w:ind w:left="720" w:hanging="360"/>
      </w:pPr>
    </w:lvl>
    <w:lvl w:ilvl="1" w:tplc="6D20E03E">
      <w:start w:val="1"/>
      <w:numFmt w:val="bullet"/>
      <w:lvlText w:val="o"/>
      <w:lvlJc w:val="left"/>
      <w:pPr>
        <w:ind w:left="1440" w:hanging="360"/>
      </w:pPr>
    </w:lvl>
    <w:lvl w:ilvl="2" w:tplc="541C2E24">
      <w:start w:val="1"/>
      <w:numFmt w:val="bullet"/>
      <w:lvlText w:val="▪"/>
      <w:lvlJc w:val="left"/>
      <w:pPr>
        <w:ind w:left="2160" w:hanging="360"/>
      </w:pPr>
    </w:lvl>
    <w:lvl w:ilvl="3" w:tplc="91E0B126">
      <w:start w:val="1"/>
      <w:numFmt w:val="bullet"/>
      <w:lvlText w:val="•"/>
      <w:lvlJc w:val="left"/>
      <w:pPr>
        <w:ind w:left="2880" w:hanging="360"/>
      </w:pPr>
    </w:lvl>
    <w:lvl w:ilvl="4" w:tplc="A0BE3742">
      <w:start w:val="1"/>
      <w:numFmt w:val="bullet"/>
      <w:lvlText w:val="o"/>
      <w:lvlJc w:val="left"/>
      <w:pPr>
        <w:ind w:left="3600" w:hanging="360"/>
      </w:pPr>
    </w:lvl>
    <w:lvl w:ilvl="5" w:tplc="26E0B5C2">
      <w:start w:val="1"/>
      <w:numFmt w:val="bullet"/>
      <w:lvlText w:val="▪"/>
      <w:lvlJc w:val="left"/>
      <w:pPr>
        <w:ind w:left="4320" w:hanging="360"/>
      </w:pPr>
    </w:lvl>
    <w:lvl w:ilvl="6" w:tplc="8B8E2CBC">
      <w:start w:val="1"/>
      <w:numFmt w:val="bullet"/>
      <w:lvlText w:val="•"/>
      <w:lvlJc w:val="left"/>
      <w:pPr>
        <w:ind w:left="5040" w:hanging="360"/>
      </w:pPr>
    </w:lvl>
    <w:lvl w:ilvl="7" w:tplc="8682C612">
      <w:start w:val="1"/>
      <w:numFmt w:val="bullet"/>
      <w:lvlText w:val="o"/>
      <w:lvlJc w:val="left"/>
      <w:pPr>
        <w:ind w:left="5760" w:hanging="360"/>
      </w:pPr>
    </w:lvl>
    <w:lvl w:ilvl="8" w:tplc="3024210C">
      <w:start w:val="1"/>
      <w:numFmt w:val="bullet"/>
      <w:lvlText w:val="▪"/>
      <w:lvlJc w:val="left"/>
      <w:pPr>
        <w:ind w:left="6480" w:hanging="360"/>
      </w:pPr>
    </w:lvl>
  </w:abstractNum>
  <w:num w:numId="1" w16cid:durableId="1904828881">
    <w:abstractNumId w:val="1"/>
  </w:num>
  <w:num w:numId="2" w16cid:durableId="342168104">
    <w:abstractNumId w:val="1"/>
  </w:num>
  <w:num w:numId="3" w16cid:durableId="73431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70"/>
    <w:rsid w:val="00182870"/>
    <w:rsid w:val="003653FA"/>
    <w:rsid w:val="005550E2"/>
    <w:rsid w:val="00F8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46D83"/>
  <w15:docId w15:val="{5A55D123-39DD-4FA9-B05F-197BF255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5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0E2"/>
  </w:style>
  <w:style w:type="paragraph" w:styleId="Footer">
    <w:name w:val="footer"/>
    <w:basedOn w:val="Normal"/>
    <w:link w:val="FooterChar"/>
    <w:uiPriority w:val="99"/>
    <w:unhideWhenUsed/>
    <w:rsid w:val="00555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Decision Memo</dc:title>
  <dc:creator>Mustafa Arif</dc:creator>
  <dc:description>Claude Docs node/e31778d3-4f71@1 docx-w6</dc:description>
  <cp:lastModifiedBy>Muhammad Ziyam</cp:lastModifiedBy>
  <cp:revision>2</cp:revision>
  <dcterms:created xsi:type="dcterms:W3CDTF">2026-10-08T09:29:00Z</dcterms:created>
  <dcterms:modified xsi:type="dcterms:W3CDTF">2026-10-08T09:29:00Z</dcterms:modified>
</cp:coreProperties>
</file>