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Validation Note: Holdout Design, Leakage Check and Largest Errors</w:t>
      </w:r>
    </w:p>
    <w:p>
      <w:pPr/>
      <w:r>
        <w:rPr>
          <w:i/>
        </w:rPr>
        <w:t xml:space="preserve">Company-Calibrated Synthetic Dataset for Academic Analysis — illustrative figures, calibrated to Nestle Pakistan's disclosed scale, not actual company records.</w:t>
      </w:r>
    </w:p>
    <w:p>
      <w:pPr/>
      <w:r>
        <w:rPr>
          <w:b/>
        </w:rPr>
        <w:t xml:space="preserve">Student:</w:t>
      </w:r>
      <w:r>
        <w:t xml:space="preserve"> Muhammad Ziyam | </w:t>
      </w:r>
      <w:r>
        <w:rPr>
          <w:b/>
        </w:rPr>
        <w:t xml:space="preserve">ERP ID:</w:t>
      </w:r>
      <w:r>
        <w:t xml:space="preserve"> 28359 | </w:t>
      </w:r>
      <w:r>
        <w:rPr>
          <w:b/>
        </w:rPr>
        <w:t xml:space="preserve">Course:</w:t>
      </w:r>
      <w:r>
        <w:t xml:space="preserve"> Supply Chain Analytics (MGT-353) | </w:t>
      </w:r>
      <w:r>
        <w:rPr>
          <w:b/>
        </w:rPr>
        <w:t xml:space="preserve">Instructor:</w:t>
      </w:r>
      <w:r>
        <w:t xml:space="preserve"> Faisal Jalal</w:t>
      </w:r>
    </w:p>
    <w:p>
      <w:pPr/>
      <w:r>
        <w:rPr>
          <w:b/>
        </w:rPr>
        <w:t xml:space="preserve">Subject:</w:t>
      </w:r>
      <w:r>
        <w:t xml:space="preserve"> Nestlé Fruita Vitals 200ml, weekly packs | </w:t>
      </w:r>
      <w:r>
        <w:rPr>
          <w:b/>
        </w:rPr>
        <w:t xml:space="preserve">Date:</w:t>
      </w:r>
      <w:r>
        <w:t xml:space="preserve"> 8 October 2026 | </w:t>
      </w:r>
      <w:r>
        <w:rPr>
          <w:b/>
        </w:rPr>
        <w:t xml:space="preserve">Error convention:</w:t>
      </w:r>
      <w:r>
        <w:t xml:space="preserve"> Error = Actual − Forecast (positive = under-forecast)</w:t>
      </w:r>
    </w:p>
    <w:p>
      <w:pPr>
        <w:pStyle w:val="Heading2"/>
      </w:pPr>
      <w:r>
        <w:t xml:space="preserve">1. Holdout design</w:t>
      </w:r>
    </w:p>
    <w:p>
      <w:pPr/>
      <w:r>
        <w:t xml:space="preserve">The final 12 weeks were held out; every model was fitted only on the earlier period and all seven models were scored on the same weeks.</w:t>
      </w:r>
    </w:p>
    <w:p>
      <w:pPr>
        <w:pStyle w:val="ListParagraph"/>
        <w:numPr>
          <w:ilvl w:val="0"/>
          <w:numId w:val="2"/>
        </w:numPr>
      </w:pPr>
      <w:r>
        <w:rPr>
          <w:b/>
        </w:rPr>
        <w:t xml:space="preserve">Train:</w:t>
      </w:r>
      <w:r>
        <w:t xml:space="preserve"> weeks 1–92 (1 Jan 2024 – 29 Sep 2025). </w:t>
      </w:r>
      <w:r>
        <w:rPr>
          <w:b/>
        </w:rPr>
        <w:t xml:space="preserve">Holdout:</w:t>
      </w:r>
      <w:r>
        <w:t xml:space="preserve"> weeks 93–104 (6 Oct – 22 Dec 2025). There is a 7-day gap and no overlapping dates.</w:t>
      </w:r>
    </w:p>
    <w:p>
      <w:pPr>
        <w:pStyle w:val="ListParagraph"/>
        <w:numPr>
          <w:ilvl w:val="0"/>
          <w:numId w:val="2"/>
        </w:numPr>
      </w:pPr>
      <w:r>
        <w:rPr>
          <w:b/>
        </w:rPr>
        <w:t xml:space="preserve">Forecast method:</w:t>
      </w:r>
      <w:r>
        <w:t xml:space="preserve"> direct 12-week-ahead forecasts from a single origin. No forecast is fed back as an input, so there is no recursive-forecast risk.</w:t>
      </w:r>
    </w:p>
    <w:p>
      <w:pPr>
        <w:pStyle w:val="ListParagraph"/>
        <w:numPr>
          <w:ilvl w:val="0"/>
          <w:numId w:val="2"/>
        </w:numPr>
      </w:pPr>
      <w:r>
        <w:rPr>
          <w:b/>
        </w:rPr>
        <w:t xml:space="preserve">Inputs the regression may use for the holdout:</w:t>
      </w:r>
      <w:r>
        <w:t xml:space="preserve"> planned price, planned promotion flags and calendar event flags (all known in advance), and the seasonal-normal temperature from training weeks. It does not use holdout demand, holdout temperature or stockouts.</w:t>
      </w:r>
    </w:p>
    <w:p>
      <w:pPr>
        <w:pStyle w:val="ListParagraph"/>
        <w:numPr>
          <w:ilvl w:val="0"/>
          <w:numId w:val="2"/>
        </w:numPr>
      </w:pPr>
      <w:r>
        <w:rPr>
          <w:b/>
        </w:rPr>
        <w:t xml:space="preserve">Fixed in advance:</w:t>
      </w:r>
      <w:r>
        <w:t xml:space="preserve"> the smoothing constants (0.3 and 0.6) came from the assignment, and the regression variables were chosen before the holdout was scored.</w:t>
      </w:r>
    </w:p>
    <w:p>
      <w:pPr>
        <w:pStyle w:val="Heading2"/>
      </w:pPr>
      <w:r>
        <w:t xml:space="preserve">2. Leakage check</w:t>
      </w:r>
    </w:p>
    <w:p>
      <w:pPr>
        <w:pStyle w:val="ListParagraph"/>
        <w:numPr>
          <w:ilvl w:val="0"/>
          <w:numId w:val="3"/>
        </w:numPr>
      </w:pPr>
      <w:r>
        <w:rPr>
          <w:b/>
        </w:rPr>
        <w:t xml:space="preserve">Corrupted-holdout test:</w:t>
      </w:r>
      <w:r>
        <w:t xml:space="preserve"> I replaced the holdout's demand, historical forecast, temperature and stockout values with random numbers and re-ran all seven models. The maximum change in any forecast was </w:t>
      </w:r>
      <w:r>
        <w:rPr>
          <w:b/>
        </w:rPr>
        <w:t xml:space="preserve">0.0</w:t>
      </w:r>
      <w:r>
        <w:t xml:space="preserve">, so no model uses holdout actuals.</w:t>
      </w:r>
    </w:p>
    <w:p>
      <w:pPr>
        <w:pStyle w:val="ListParagraph"/>
        <w:numPr>
          <w:ilvl w:val="0"/>
          <w:numId w:val="3"/>
        </w:numPr>
      </w:pPr>
      <w:r>
        <w:rPr>
          <w:b/>
        </w:rPr>
        <w:t xml:space="preserve">Suspiciously good accuracy?</w:t>
      </w:r>
      <w:r>
        <w:t xml:space="preserve"> No. Regression holdout MAPE is 6.2% against 5.6% in training; 0 of 12 weeks are within 1% error; forecast and actual correlate at 0.87.</w:t>
      </w:r>
    </w:p>
    <w:p>
      <w:pPr>
        <w:pStyle w:val="ListParagraph"/>
        <w:numPr>
          <w:ilvl w:val="0"/>
          <w:numId w:val="3"/>
        </w:numPr>
      </w:pPr>
      <w:r>
        <w:rPr>
          <w:b/>
        </w:rPr>
        <w:t xml:space="preserve">Selection optimism (disclosed):</w:t>
      </w:r>
      <w:r>
        <w:t xml:space="preserve"> the holdout also helped choose among the seven models, so 6.2% is mildly optimistic. A rolling test from 10 forecast origins supports the choice: the regression had the lowest MAPE at all 10 origins (average 6.4% vs 11.7% for the seasonal-index model and 13.9% for naive).</w:t>
      </w:r>
    </w:p>
    <w:p>
      <w:pPr>
        <w:pStyle w:val="ListParagraph"/>
        <w:numPr>
          <w:ilvl w:val="0"/>
          <w:numId w:val="3"/>
        </w:numPr>
      </w:pPr>
      <w:r>
        <w:rPr>
          <w:b/>
        </w:rPr>
        <w:t xml:space="preserve">Dependence on the promo plan:</w:t>
      </w:r>
      <w:r>
        <w:t xml:space="preserve"> with promotion flags set to zero, regression MAPE rises to 9.0%, the same as the seasonal-index model. Its advantage holds only when promotions are planned in advance.</w:t>
      </w:r>
    </w:p>
    <w:p>
      <w:pPr>
        <w:pStyle w:val="Heading2"/>
      </w:pPr>
      <w:r>
        <w:t xml:space="preserve">3. Holdout accuracy (regression)</w:t>
      </w:r>
    </w:p>
    <w:p>
      <w:pPr/>
      <w:r>
        <w:t xml:space="preserve">MAD 46,868 packs | MAPE 6.2% | RMSE 54,709 | WAPE 6.4% | bias +15,436 packs a week (about +2% of demand) | RSFE +185,232 | tracking signal +4.0. The forecast runs slightly low and sits at the ±4 limit, so it should be watched, not rebuilt.</w:t>
      </w:r>
    </w:p>
    <w:p>
      <w:pPr>
        <w:pStyle w:val="Heading2"/>
      </w:pPr>
      <w:r>
        <w:t xml:space="preserve">4. Five largest errors and diagnosis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Week</w:t>
            </w:r>
          </w:p>
        </w:tc>
        <w:tc>
          <w:tcPr>
            <w:tcW w:w="1560" w:type="dxa"/>
            <w:shd w:val="clear" w:color="auto" w:fill="F2F2F2"/>
          </w:tcPr>
          <w:p>
            <w:pPr/>
            <w:r>
              <w:t xml:space="preserve">Actual</w:t>
            </w:r>
          </w:p>
        </w:tc>
        <w:tc>
          <w:tcPr>
            <w:tcW w:w="1560" w:type="dxa"/>
            <w:shd w:val="clear" w:color="auto" w:fill="F2F2F2"/>
          </w:tcPr>
          <w:p>
            <w:pPr/>
            <w:r>
              <w:t xml:space="preserve">Forecast</w:t>
            </w:r>
          </w:p>
        </w:tc>
        <w:tc>
          <w:tcPr>
            <w:tcW w:w="1560" w:type="dxa"/>
            <w:shd w:val="clear" w:color="auto" w:fill="F2F2F2"/>
          </w:tcPr>
          <w:p>
            <w:pPr/>
            <w:r>
              <w:t xml:space="preserve">Error (A−F)</w:t>
            </w:r>
          </w:p>
        </w:tc>
        <w:tc>
          <w:tcPr>
            <w:tcW w:w="1560" w:type="dxa"/>
            <w:shd w:val="clear" w:color="auto" w:fill="F2F2F2"/>
          </w:tcPr>
          <w:p>
            <w:pPr/>
            <w:r>
              <w:t xml:space="preserve">Diagnosis</w:t>
            </w:r>
          </w:p>
        </w:tc>
      </w:tr>
      <w:tr>
        <w:tc>
          <w:tcPr>
            <w:tcW w:w="1560" w:type="dxa"/>
          </w:tcPr>
          <w:p>
            <w:pPr/>
            <w:r>
              <w:t xml:space="preserve">1</w:t>
            </w:r>
          </w:p>
        </w:tc>
        <w:tc>
          <w:tcPr>
            <w:tcW w:w="1560" w:type="dxa"/>
          </w:tcPr>
          <w:p>
            <w:pPr/>
            <w:r>
              <w:t xml:space="preserve">8 Dec 2025</w:t>
            </w:r>
          </w:p>
        </w:tc>
        <w:tc>
          <w:tcPr>
            <w:tcW w:w="1560" w:type="dxa"/>
          </w:tcPr>
          <w:p>
            <w:pPr/>
            <w:r>
              <w:t xml:space="preserve">741,400</w:t>
            </w:r>
          </w:p>
        </w:tc>
        <w:tc>
          <w:tcPr>
            <w:tcW w:w="1560" w:type="dxa"/>
          </w:tcPr>
          <w:p>
            <w:pPr/>
            <w:r>
              <w:t xml:space="preserve">652,954</w:t>
            </w:r>
          </w:p>
        </w:tc>
        <w:tc>
          <w:tcPr>
            <w:tcW w:w="1560" w:type="dxa"/>
          </w:tcPr>
          <w:p>
            <w:pPr/>
            <w:r>
              <w:t xml:space="preserve">+88,446 (+11.9%)</w:t>
            </w:r>
          </w:p>
        </w:tc>
        <w:tc>
          <w:tcPr>
            <w:tcW w:w="1560" w:type="dxa"/>
          </w:tcPr>
          <w:p>
            <w:pPr/>
            <w:r>
              <w:t xml:space="preserve">Model weakness in December. Temperature ran 1.4°C above normal, worth about 24,000 packs; the rest is unexplained</w:t>
            </w:r>
          </w:p>
        </w:tc>
      </w:tr>
      <w:tr>
        <w:tc>
          <w:tcPr>
            <w:tcW w:w="1560" w:type="dxa"/>
          </w:tcPr>
          <w:p>
            <w:pPr/>
            <w:r>
              <w:t xml:space="preserve">2</w:t>
            </w:r>
          </w:p>
        </w:tc>
        <w:tc>
          <w:tcPr>
            <w:tcW w:w="1560" w:type="dxa"/>
          </w:tcPr>
          <w:p>
            <w:pPr/>
            <w:r>
              <w:t xml:space="preserve">6 Oct 2025</w:t>
            </w:r>
          </w:p>
        </w:tc>
        <w:tc>
          <w:tcPr>
            <w:tcW w:w="1560" w:type="dxa"/>
          </w:tcPr>
          <w:p>
            <w:pPr/>
            <w:r>
              <w:t xml:space="preserve">821,300</w:t>
            </w:r>
          </w:p>
        </w:tc>
        <w:tc>
          <w:tcPr>
            <w:tcW w:w="1560" w:type="dxa"/>
          </w:tcPr>
          <w:p>
            <w:pPr/>
            <w:r>
              <w:t xml:space="preserve">904,012</w:t>
            </w:r>
          </w:p>
        </w:tc>
        <w:tc>
          <w:tcPr>
            <w:tcW w:w="1560" w:type="dxa"/>
          </w:tcPr>
          <w:p>
            <w:pPr/>
            <w:r>
              <w:t xml:space="preserve">−82,712 (−10.1%)</w:t>
            </w:r>
          </w:p>
        </w:tc>
        <w:tc>
          <w:tcPr>
            <w:tcW w:w="1560" w:type="dxa"/>
          </w:tcPr>
          <w:p>
            <w:pPr/>
            <w:r>
              <w:t xml:space="preserve">Promotion effect. A 12% discount; the model applies the average promo lift, so shallow promotions are over-forecast</w:t>
            </w:r>
          </w:p>
        </w:tc>
      </w:tr>
      <w:tr>
        <w:tc>
          <w:tcPr>
            <w:tcW w:w="1560" w:type="dxa"/>
          </w:tcPr>
          <w:p>
            <w:pPr/>
            <w:r>
              <w:t xml:space="preserve">3</w:t>
            </w:r>
          </w:p>
        </w:tc>
        <w:tc>
          <w:tcPr>
            <w:tcW w:w="1560" w:type="dxa"/>
          </w:tcPr>
          <w:p>
            <w:pPr/>
            <w:r>
              <w:t xml:space="preserve">1 Dec 2025</w:t>
            </w:r>
          </w:p>
        </w:tc>
        <w:tc>
          <w:tcPr>
            <w:tcW w:w="1560" w:type="dxa"/>
          </w:tcPr>
          <w:p>
            <w:pPr/>
            <w:r>
              <w:t xml:space="preserve">733,700</w:t>
            </w:r>
          </w:p>
        </w:tc>
        <w:tc>
          <w:tcPr>
            <w:tcW w:w="1560" w:type="dxa"/>
          </w:tcPr>
          <w:p>
            <w:pPr/>
            <w:r>
              <w:t xml:space="preserve">652,132</w:t>
            </w:r>
          </w:p>
        </w:tc>
        <w:tc>
          <w:tcPr>
            <w:tcW w:w="1560" w:type="dxa"/>
          </w:tcPr>
          <w:p>
            <w:pPr/>
            <w:r>
              <w:t xml:space="preserve">+81,568 (+11.1%)</w:t>
            </w:r>
          </w:p>
        </w:tc>
        <w:tc>
          <w:tcPr>
            <w:tcW w:w="1560" w:type="dxa"/>
          </w:tcPr>
          <w:p>
            <w:pPr/>
            <w:r>
              <w:t xml:space="preserve">Model weakness in December. Temperature was normal, so weather does not explain it</w:t>
            </w:r>
          </w:p>
        </w:tc>
      </w:tr>
      <w:tr>
        <w:tc>
          <w:tcPr>
            <w:tcW w:w="1560" w:type="dxa"/>
          </w:tcPr>
          <w:p>
            <w:pPr/>
            <w:r>
              <w:t xml:space="preserve">4</w:t>
            </w:r>
          </w:p>
        </w:tc>
        <w:tc>
          <w:tcPr>
            <w:tcW w:w="1560" w:type="dxa"/>
          </w:tcPr>
          <w:p>
            <w:pPr/>
            <w:r>
              <w:t xml:space="preserve">15 Dec 2025</w:t>
            </w:r>
          </w:p>
        </w:tc>
        <w:tc>
          <w:tcPr>
            <w:tcW w:w="1560" w:type="dxa"/>
          </w:tcPr>
          <w:p>
            <w:pPr/>
            <w:r>
              <w:t xml:space="preserve">722,400</w:t>
            </w:r>
          </w:p>
        </w:tc>
        <w:tc>
          <w:tcPr>
            <w:tcW w:w="1560" w:type="dxa"/>
          </w:tcPr>
          <w:p>
            <w:pPr/>
            <w:r>
              <w:t xml:space="preserve">652,954</w:t>
            </w:r>
          </w:p>
        </w:tc>
        <w:tc>
          <w:tcPr>
            <w:tcW w:w="1560" w:type="dxa"/>
          </w:tcPr>
          <w:p>
            <w:pPr/>
            <w:r>
              <w:t xml:space="preserve">+69,446 (+9.6%)</w:t>
            </w:r>
          </w:p>
        </w:tc>
        <w:tc>
          <w:tcPr>
            <w:tcW w:w="1560" w:type="dxa"/>
          </w:tcPr>
          <w:p>
            <w:pPr/>
            <w:r>
              <w:t xml:space="preserve">Model weakness in December. Temperature 2.3°C above normal, worth about 39,000 packs; the rest is unexplained</w:t>
            </w:r>
          </w:p>
        </w:tc>
      </w:tr>
      <w:tr>
        <w:tc>
          <w:tcPr>
            <w:tcW w:w="1560" w:type="dxa"/>
          </w:tcPr>
          <w:p>
            <w:pPr/>
            <w:r>
              <w:t xml:space="preserve">5</w:t>
            </w:r>
          </w:p>
        </w:tc>
        <w:tc>
          <w:tcPr>
            <w:tcW w:w="1560" w:type="dxa"/>
          </w:tcPr>
          <w:p>
            <w:pPr/>
            <w:r>
              <w:t xml:space="preserve">13 Oct 2025</w:t>
            </w:r>
          </w:p>
        </w:tc>
        <w:tc>
          <w:tcPr>
            <w:tcW w:w="1560" w:type="dxa"/>
          </w:tcPr>
          <w:p>
            <w:pPr/>
            <w:r>
              <w:t xml:space="preserve">840,900</w:t>
            </w:r>
          </w:p>
        </w:tc>
        <w:tc>
          <w:tcPr>
            <w:tcW w:w="1560" w:type="dxa"/>
          </w:tcPr>
          <w:p>
            <w:pPr/>
            <w:r>
              <w:t xml:space="preserve">904,834</w:t>
            </w:r>
          </w:p>
        </w:tc>
        <w:tc>
          <w:tcPr>
            <w:tcW w:w="1560" w:type="dxa"/>
          </w:tcPr>
          <w:p>
            <w:pPr/>
            <w:r>
              <w:t xml:space="preserve">−63,933 (−7.6%)</w:t>
            </w:r>
          </w:p>
        </w:tc>
        <w:tc>
          <w:tcPr>
            <w:tcW w:w="1560" w:type="dxa"/>
          </w:tcPr>
          <w:p>
            <w:pPr/>
            <w:r>
              <w:t xml:space="preserve">Promotion effect. A 10% discount, same cause as #2</w:t>
            </w:r>
          </w:p>
        </w:tc>
      </w:tr>
    </w:tbl>
    <w:p>
      <w:pPr>
        <w:pStyle w:val="ListParagraph"/>
        <w:numPr>
          <w:ilvl w:val="0"/>
          <w:numId w:val="4"/>
        </w:numPr>
      </w:pPr>
      <w:r>
        <w:rPr>
          <w:b/>
        </w:rPr>
        <w:t xml:space="preserve">Promotions:</w:t>
      </w:r>
      <w:r>
        <w:t xml:space="preserve"> the three promotion weeks are 25% of the holdout but 34% of total absolute error. A depth-based model (+14,286 packs per discount point, R² 0.84) would address this.</w:t>
      </w:r>
    </w:p>
    <w:p>
      <w:pPr>
        <w:pStyle w:val="ListParagraph"/>
        <w:numPr>
          <w:ilvl w:val="0"/>
          <w:numId w:val="4"/>
        </w:numPr>
      </w:pPr>
      <w:r>
        <w:rPr>
          <w:b/>
        </w:rPr>
        <w:t xml:space="preserve">December:</w:t>
      </w:r>
      <w:r>
        <w:t xml:space="preserve"> all three December weeks are under-forecast by 10–12%, which looks systematic, not random. The cause is unverified. Possible reasons are a single year of December history (which included the 2024 supply disruption) and a non-linear temperature effect; I have not tested either.</w:t>
      </w:r>
    </w:p>
    <w:p>
      <w:pPr>
        <w:pStyle w:val="ListParagraph"/>
        <w:numPr>
          <w:ilvl w:val="0"/>
          <w:numId w:val="4"/>
        </w:numPr>
      </w:pPr>
      <w:r>
        <w:rPr>
          <w:b/>
        </w:rPr>
        <w:t xml:space="preserve">Not tested by this holdout:</w:t>
      </w:r>
      <w:r>
        <w:t xml:space="preserve"> it contains no event (Ramadan/Eid) weeks and no stockouts, so those effects need validation in a later window.</w:t>
      </w:r>
    </w:p>
    <w:p>
      <w:pPr>
        <w:pStyle w:val="Heading2"/>
      </w:pPr>
      <w:r>
        <w:t xml:space="preserve">5. Limits</w:t>
      </w:r>
    </w:p>
    <w:p>
      <w:pPr/>
      <w:r>
        <w:t xml:space="preserve">The data are synthetic and the driver effects were built in, so a good holdout result shows the method works, not that real demand behaves this way. The unexplained December miss and the regression's dependence on the promo plan are the main weaknesses to report.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Validation Note Holdout Design, Leakage Check and Largest Errors</dc:title>
  <dc:description>Claude Docs node/94348007-8065@1 docx-w6</dc:description>
  <cp:revision>1</cp:revision>
</cp:coreProperties>
</file>