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Surgical Video Procedure Audit Benchmark</w:t>
      </w:r>
    </w:p>
    <w:p>
      <w:pPr>
        <w:pStyle w:val="Subtitle"/>
      </w:pPr>
      <w:r>
        <w:t xml:space="preserve">Project description document generated on June 30, 2026.</w:t>
      </w:r>
    </w:p>
    <w:p/>
    <w:p>
      <w:pPr>
        <w:pStyle w:val="Heading1"/>
      </w:pPr>
      <w:r>
        <w:t xml:space="preserve">One-Page Summary</w:t>
      </w:r>
    </w:p>
    <w:p>
      <w:r>
        <w:t xml:space="preserve">This workspace contains a research benchmark for evaluating multimodal AI models on surgical video procedure audit. The benchmark goes beyond simple phase or tool recognition: it asks whether a model can judge procedural order, milestone readiness, visual state consistency, tool-action-target consistency, cross-level hierarchy, and deviation type.</w:t>
      </w:r>
    </w:p>
    <w:p>
      <w:r>
        <w:t xml:space="preserve">The core generated benchmark is built mainly from Cholec80 and CholecT50. Additional surgical-video datasets and model repositories are also present as reference material or future expansion resources, including GraSP/TAPIS, GynSurg, Endoscapes2023, Cataract-1K, Cholec80-CVS, and MultiBypass140.</w:t>
      </w:r>
    </w:p>
    <w:p>
      <w:r>
        <w:t xml:space="preserve">The current generated QA/MCQ benchmark contains 57,748 samples: 43,099 from the Cholec80 task family and 14,649 from the CholecT50 task family.</w:t>
      </w:r>
    </w:p>
    <w:p>
      <w:pPr>
        <w:pStyle w:val="Heading1"/>
      </w:pPr>
      <w:r>
        <w:t xml:space="preserve">Project Purpose</w:t>
      </w:r>
    </w:p>
    <w:p>
      <w:pPr>
        <w:pStyle w:val="ListParagraph"/>
      </w:pPr>
      <w:r>
        <w:t xml:space="preserve">- Create video-grounded QA and multiple-choice tasks for surgical workflow auditing.</w:t>
      </w:r>
    </w:p>
    <w:p>
      <w:pPr>
        <w:pStyle w:val="ListParagraph"/>
      </w:pPr>
      <w:r>
        <w:t xml:space="preserve">- Evaluate whether vision-language models understand temporal procedure structure rather than only local visual labels.</w:t>
      </w:r>
    </w:p>
    <w:p>
      <w:pPr>
        <w:pStyle w:val="ListParagraph"/>
      </w:pPr>
      <w:r>
        <w:t xml:space="preserve">- Expose model failure modes by module and question type, especially around skipped steps, invalid transitions, premature progression, and tool-action-target mismatches.</w:t>
      </w:r>
    </w:p>
    <w:p>
      <w:pPr>
        <w:pStyle w:val="ListParagraph"/>
      </w:pPr>
      <w:r>
        <w:t xml:space="preserve">- Provide reusable manifests and metadata so experiments can be sampled, repeated, and compared across models.</w:t>
      </w:r>
    </w:p>
    <w:p>
      <w:pPr>
        <w:pStyle w:val="Heading1"/>
      </w:pPr>
      <w:r>
        <w:t xml:space="preserve">Core Data Sources</w:t>
      </w:r>
    </w:p>
    <w:p>
      <w:pPr>
        <w:pStyle w:val="Heading2"/>
      </w:pPr>
      <w:r>
        <w:t xml:space="preserve">Cholec80</w:t>
      </w:r>
    </w:p>
    <w:p>
      <w:r>
        <w:t xml:space="preserve">Cholec80 provides 80 laparoscopic cholecystectomy videos with phase and tool annotations. The local workspace contains 184,498 extracted PNG frames, 80 phase annotation files, and 80 tool annotation files. The benchmark uses this source for A1-A3, B1-B4, and C1 tasks.</w:t>
      </w:r>
    </w:p>
    <w:p>
      <w:pPr>
        <w:pStyle w:val="Heading2"/>
      </w:pPr>
      <w:r>
        <w:t xml:space="preserve">CholecT50</w:t>
      </w:r>
    </w:p>
    <w:p>
      <w:r>
        <w:t xml:space="preserve">CholecT50 provides laparoscopic cholecystectomy frame labels with surgical phases and action triplets in the form instrument, verb, and target. The local workspace contains 50 label JSON files, 47 available video-frame directories, and 92,978 PNG frames. The benchmark uses this source for C2, C3, D1, and D2 tasks.</w:t>
      </w:r>
    </w:p>
    <w:p>
      <w:pPr>
        <w:pStyle w:val="Heading2"/>
      </w:pPr>
      <w:r>
        <w:t xml:space="preserve">Additional Local Resources</w:t>
      </w:r>
    </w:p>
    <w:p>
      <w:r>
        <w:t xml:space="preserve">GraSP/TAPIS supports holistic surgical scene understanding for prostatectomy, including phases, steps, actions, and instrument segmentation. MultiBypass140 supports phase, step, and intraoperative adverse event recognition in gastric bypass surgery. Other data folders appear to be available for future benchmark expansion, but they are not the current core generated task set.</w:t>
      </w:r>
    </w:p>
    <w:p>
      <w:pPr>
        <w:pStyle w:val="Heading1"/>
      </w:pPr>
      <w:r>
        <w:t xml:space="preserve">Benchmark Design</w:t>
      </w:r>
    </w:p>
    <w:p>
      <w:r>
        <w:t xml:space="preserve">Module A: Procedural Structure Understanding. Tests phase recognition, chronological order, local transition validity, and sequence correction.</w:t>
      </w:r>
    </w:p>
    <w:p>
      <w:r>
        <w:t xml:space="preserve">Module B: Milestone and Readiness Audit. Tests whether required milestones have happened, whether prerequisites are satisfied, and whether progression is premature.</w:t>
      </w:r>
    </w:p>
    <w:p>
      <w:r>
        <w:t xml:space="preserve">Module C: State and Visual Consistency Audit. Tests whether visual state, tools, actions, targets, and text claims are mutually consistent.</w:t>
      </w:r>
    </w:p>
    <w:p>
      <w:r>
        <w:t xml:space="preserve">Module D: Hierarchical and Error-Type Audit. Tests cross-level consistency between high-level procedure phase and low-level action, plus diagnosis of deviation categories.</w:t>
      </w:r>
    </w:p>
    <w:p>
      <w:pPr>
        <w:pStyle w:val="Heading1"/>
      </w:pPr>
      <w:r>
        <w:t xml:space="preserve">Generated Task Inventory</w:t>
      </w:r>
    </w:p>
    <w:p>
      <w:pPr>
        <w:pStyle w:val="ListParagraph"/>
      </w:pPr>
      <w:r>
        <w:t xml:space="preserve">- A1 step recognition: 544 samples.</w:t>
      </w:r>
    </w:p>
    <w:p>
      <w:pPr>
        <w:pStyle w:val="ListParagraph"/>
      </w:pPr>
      <w:r>
        <w:t xml:space="preserve">- A2 order understanding: 1,128 samples.</w:t>
      </w:r>
    </w:p>
    <w:p>
      <w:pPr>
        <w:pStyle w:val="ListParagraph"/>
      </w:pPr>
      <w:r>
        <w:t xml:space="preserve">- A3 transition validity: 2,580 samples.</w:t>
      </w:r>
    </w:p>
    <w:p>
      <w:pPr>
        <w:pStyle w:val="ListParagraph"/>
      </w:pPr>
      <w:r>
        <w:t xml:space="preserve">- B1 milestone awareness: 8,160 samples.</w:t>
      </w:r>
    </w:p>
    <w:p>
      <w:pPr>
        <w:pStyle w:val="ListParagraph"/>
      </w:pPr>
      <w:r>
        <w:t xml:space="preserve">- B2 missing milestone diagnosis: 1,504 samples.</w:t>
      </w:r>
    </w:p>
    <w:p>
      <w:pPr>
        <w:pStyle w:val="ListParagraph"/>
      </w:pPr>
      <w:r>
        <w:t xml:space="preserve">- B3 prerequisite satisfaction: 7,442 samples.</w:t>
      </w:r>
    </w:p>
    <w:p>
      <w:pPr>
        <w:pStyle w:val="ListParagraph"/>
      </w:pPr>
      <w:r>
        <w:t xml:space="preserve">- B4 premature progression detection: 1,128 samples.</w:t>
      </w:r>
    </w:p>
    <w:p>
      <w:pPr>
        <w:pStyle w:val="ListParagraph"/>
      </w:pPr>
      <w:r>
        <w:t xml:space="preserve">- C1 procedure state tracking: 20,613 samples.</w:t>
      </w:r>
    </w:p>
    <w:p>
      <w:pPr>
        <w:pStyle w:val="ListParagraph"/>
      </w:pPr>
      <w:r>
        <w:t xml:space="preserve">- C2 action-state consistency: 3,980 samples.</w:t>
      </w:r>
    </w:p>
    <w:p>
      <w:pPr>
        <w:pStyle w:val="ListParagraph"/>
      </w:pPr>
      <w:r>
        <w:t xml:space="preserve">- C3 tool-action-target consistency: 1,911 samples.</w:t>
      </w:r>
    </w:p>
    <w:p>
      <w:pPr>
        <w:pStyle w:val="ListParagraph"/>
      </w:pPr>
      <w:r>
        <w:t xml:space="preserve">- D1 hierarchical procedure consistency: 1,990 samples.</w:t>
      </w:r>
    </w:p>
    <w:p>
      <w:pPr>
        <w:pStyle w:val="ListParagraph"/>
      </w:pPr>
      <w:r>
        <w:t xml:space="preserve">- D2 deviation type classification: 6,768 samples.</w:t>
      </w:r>
    </w:p>
    <w:p>
      <w:pPr>
        <w:pStyle w:val="Heading1"/>
      </w:pPr>
      <w:r>
        <w:t xml:space="preserve">Output Structure</w:t>
      </w:r>
    </w:p>
    <w:p>
      <w:r>
        <w:t xml:space="preserve">Each task directory generally contains a manifest file with one sample per line and a metadata file with task-level statistics and generation parameters. A1 and C1 also contain copied clip frames. Most other tasks reference existing clips or original frame paths to avoid duplicating large image sets.</w:t>
      </w:r>
    </w:p>
    <w:p>
      <w:r>
        <w:t xml:space="preserve">Evaluation runs are stored under the runs folders. Prediction outputs include per-sample JSONL files and summary JSON files with scored counts, correct counts, accuracy, and parse or error counts.</w:t>
      </w:r>
    </w:p>
    <w:p>
      <w:pPr>
        <w:pStyle w:val="Heading1"/>
      </w:pPr>
      <w:r>
        <w:t xml:space="preserve">Current Evaluation Snapshot</w:t>
      </w:r>
    </w:p>
    <w:p>
      <w:r>
        <w:t xml:space="preserve">The newest project-level report in the workspace is the v3 model comparison dated June 22, 2026. It evaluates gpt-5.4 and gpt-5.5 using service_tier=flex, up to 10 samples per question type, up to 8 frames per clip, and high image detail. The run covers 280 total samples: 200 from Cholec80 and 80 from CholecT50.</w:t>
      </w:r>
    </w:p>
    <w:p>
      <w:r>
        <w:t xml:space="preserve">Overall v3 result: gpt-5.4 scored 157/280, or 56.07 percent. gpt-5.5 scored 161/280, or 57.50 percent. All v3 summary files were generated with zero parse failures or errors.</w:t>
      </w:r>
    </w:p>
    <w:p>
      <w:r>
        <w:t xml:space="preserve">The overall gpt-5.5 advantage is small and uneven. It improves on several B2, B3, C1, and C3 question types, but declines on B1 milestone presence, B4 premature progression, A3 invalid transition, and C1 transition type classification.</w:t>
      </w:r>
    </w:p>
    <w:p>
      <w:r>
        <w:t xml:space="preserve">The easiest current area is C2 action-state consistency, where both models reached high accuracy in the sampled v3 run. The weakest current area is D2 deviation type classification, especially counterfactual audit and procedural error diagnosis.</w:t>
      </w:r>
    </w:p>
    <w:p>
      <w:pPr>
        <w:pStyle w:val="Heading1"/>
      </w:pPr>
      <w:r>
        <w:t xml:space="preserve">Known Caveats</w:t>
      </w:r>
    </w:p>
    <w:p>
      <w:pPr>
        <w:pStyle w:val="ListParagraph"/>
      </w:pPr>
      <w:r>
        <w:t xml:space="preserve">- The reported model results are small stratified samples, not full exhaustive benchmark evaluations.</w:t>
      </w:r>
    </w:p>
    <w:p>
      <w:pPr>
        <w:pStyle w:val="ListParagraph"/>
      </w:pPr>
      <w:r>
        <w:t xml:space="preserve">- CholecT50 has 50 label files but only 47 local frame directories; VID80, VID92, and VID96 are missing local video-frame directories.</w:t>
      </w:r>
    </w:p>
    <w:p>
      <w:pPr>
        <w:pStyle w:val="ListParagraph"/>
      </w:pPr>
      <w:r>
        <w:t xml:space="preserve">- CholecT50 VID79 has a local PNG count that does not match the label frame count in the existing structure report.</w:t>
      </w:r>
    </w:p>
    <w:p>
      <w:pPr>
        <w:pStyle w:val="ListParagraph"/>
      </w:pPr>
      <w:r>
        <w:t xml:space="preserve">- D2 combines several deviation sources and remains the hardest taxonomy to separate reliably.</w:t>
      </w:r>
    </w:p>
    <w:p>
      <w:pPr>
        <w:pStyle w:val="ListParagraph"/>
      </w:pPr>
      <w:r>
        <w:t xml:space="preserve">- Dataset licenses should be treated as non-commercial scientific research licenses where applicable, especially Cholec80 and CholecT50.</w:t>
      </w:r>
    </w:p>
    <w:p>
      <w:pPr>
        <w:pStyle w:val="Heading1"/>
      </w:pPr>
      <w:r>
        <w:t xml:space="preserve">Recommended Next Steps</w:t>
      </w:r>
    </w:p>
    <w:p>
      <w:pPr>
        <w:pStyle w:val="ListParagraph"/>
      </w:pPr>
      <w:r>
        <w:t xml:space="preserve">- Run larger or full evaluations once API cost and runtime are acceptable.</w:t>
      </w:r>
    </w:p>
    <w:p>
      <w:pPr>
        <w:pStyle w:val="ListParagraph"/>
      </w:pPr>
      <w:r>
        <w:t xml:space="preserve">- Refine D2 examples, labels, and prompt wording before using D2 as a headline metric.</w:t>
      </w:r>
    </w:p>
    <w:p>
      <w:pPr>
        <w:pStyle w:val="ListParagraph"/>
      </w:pPr>
      <w:r>
        <w:t xml:space="preserve">- Check the missing or mismatched CholecT50 frame directories before expanding C2, C3, or D1 coverage.</w:t>
      </w:r>
    </w:p>
    <w:p>
      <w:pPr>
        <w:pStyle w:val="ListParagraph"/>
      </w:pPr>
      <w:r>
        <w:t xml:space="preserve">- Analyze errors by question_type rather than only by high-level module, because the v3 report shows strong within-module differences.</w:t>
      </w:r>
    </w:p>
    <w:p>
      <w:pPr>
        <w:pStyle w:val="ListParagraph"/>
      </w:pPr>
      <w:r>
        <w:t xml:space="preserve">- Keep this project_description folder documentation-only, with no code files and no Markdown files.</w:t>
      </w:r>
    </w:p>
    <w:p>
      <w:pPr>
        <w:pStyle w:val="Heading1"/>
      </w:pPr>
      <w:r>
        <w:t xml:space="preserve">Short Reusable Description</w:t>
      </w:r>
    </w:p>
    <w:p>
      <w:r>
        <w:t xml:space="preserve">This project builds and evaluates a surgical video procedure audit benchmark for multimodal AI models. It converts annotated surgical video datasets into QA and multiple-choice tasks that test procedural structure, milestone readiness, visual state consistency, action triplet consistency, cross-level hierarchy, and deviation diagnosis. The current benchmark uses Cholec80 and CholecT50 as its core sources and contains 57,748 generated samples across modules A-D. Early v3 model evaluations show that current vision-language models can handle some local consistency checks, but still struggle with deeper deviation-type diagnosis and premature progression audit.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next w:val="Normal"/>
    <w:qFormat/>
    <w:pPr>
      <w:spacing w:after="240"/>
    </w:pPr>
    <w:rPr>
      <w:b/>
      <w:sz w:val="36"/>
      <w:szCs w:val="36"/>
    </w:rPr>
  </w:style>
  <w:style w:type="paragraph" w:styleId="Subtitle">
    <w:name w:val="Subtitle"/>
    <w:basedOn w:val="Normal"/>
    <w:next w:val="Normal"/>
    <w:qFormat/>
    <w:pPr>
      <w:spacing w:after="240"/>
    </w:pPr>
    <w:rPr>
      <w:i/>
      <w:color w:val="666666"/>
      <w:sz w:val="22"/>
      <w:szCs w:val="22"/>
    </w:rPr>
  </w:style>
  <w:style w:type="paragraph" w:styleId="Heading1">
    <w:name w:val="heading 1"/>
    <w:basedOn w:val="Normal"/>
    <w:next w:val="Normal"/>
    <w:qFormat/>
    <w:pPr>
      <w:spacing w:before="300" w:after="120"/>
    </w:pPr>
    <w:rPr>
      <w:b/>
      <w:sz w:val="28"/>
      <w:szCs w:val="28"/>
    </w:rPr>
  </w:style>
  <w:style w:type="paragraph" w:styleId="Heading2">
    <w:name w:val="heading 2"/>
    <w:basedOn w:val="Normal"/>
    <w:next w:val="Normal"/>
    <w:qFormat/>
    <w:pPr>
      <w:spacing w:before="180" w:after="80"/>
    </w:pPr>
    <w:rPr>
      <w:b/>
      <w:sz w:val="24"/>
      <w:szCs w:val="24"/>
    </w:rPr>
  </w:style>
  <w:style w:type="paragraph" w:styleId="ListParagraph">
    <w:name w:val="List Paragraph"/>
    <w:basedOn w:val="Normal"/>
    <w:qFormat/>
    <w:pPr>
      <w:ind w:left="36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Surgical Video Procedure Audit Benchmark Project Description</dc:title>
  <dc:creator>Codex</dc:creator>
  <cp:lastModifiedBy>Codex</cp:lastModifiedBy>
  <dcterms:created xsi:type="dcterms:W3CDTF">2026-06-30T00:00:00Z</dcterms:created>
  <dcterms:modified xsi:type="dcterms:W3CDTF">2026-06-30T00:00:00Z</dcterms:modified>
</cp:coreProperties>
</file>