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4F9" w:rsidRPr="00DE63F6" w:rsidRDefault="004154F9" w:rsidP="004154F9">
      <w:r w:rsidRPr="00DE63F6">
        <w:rPr>
          <w:b/>
        </w:rPr>
        <w:t>Title</w:t>
      </w:r>
      <w:r w:rsidRPr="00DE63F6">
        <w:t>:</w:t>
      </w:r>
      <w:r w:rsidR="00D70327">
        <w:t xml:space="preserve"> </w:t>
      </w:r>
      <w:r w:rsidR="00636109">
        <w:t>Neurocomputational mechanisms</w:t>
      </w:r>
      <w:r w:rsidR="002A2DE9">
        <w:t xml:space="preserve"> </w:t>
      </w:r>
      <w:r w:rsidR="00636109">
        <w:t>underlying</w:t>
      </w:r>
      <w:r w:rsidR="002A2DE9">
        <w:t xml:space="preserve"> </w:t>
      </w:r>
      <w:r w:rsidR="00D70327">
        <w:t>perceptual and response switching</w:t>
      </w:r>
    </w:p>
    <w:p w:rsidR="004154F9" w:rsidRPr="00DE63F6" w:rsidRDefault="004154F9" w:rsidP="004154F9">
      <w:r w:rsidRPr="00DE63F6">
        <w:rPr>
          <w:b/>
        </w:rPr>
        <w:t>Authors</w:t>
      </w:r>
      <w:r w:rsidRPr="00DE63F6">
        <w:t>: Ziyi Huang</w:t>
      </w:r>
      <w:r w:rsidRPr="00AD4149">
        <w:rPr>
          <w:vertAlign w:val="superscript"/>
        </w:rPr>
        <w:t>a</w:t>
      </w:r>
      <w:r w:rsidR="0073186C">
        <w:t xml:space="preserve">, Yu </w:t>
      </w:r>
      <w:proofErr w:type="spellStart"/>
      <w:r w:rsidR="0073186C">
        <w:t>Zhang</w:t>
      </w:r>
      <w:r w:rsidR="0073186C" w:rsidRPr="00AD4149">
        <w:rPr>
          <w:vertAlign w:val="superscript"/>
        </w:rPr>
        <w:t>a</w:t>
      </w:r>
      <w:proofErr w:type="spellEnd"/>
      <w:r w:rsidR="0073186C">
        <w:t>, Yun Yang</w:t>
      </w:r>
      <w:r w:rsidR="0073186C" w:rsidRPr="00AD4149">
        <w:rPr>
          <w:vertAlign w:val="superscript"/>
        </w:rPr>
        <w:t>a</w:t>
      </w:r>
      <w:r w:rsidR="0073186C">
        <w:t xml:space="preserve">, </w:t>
      </w:r>
      <w:proofErr w:type="spellStart"/>
      <w:r w:rsidR="0073186C">
        <w:t>Wanyun</w:t>
      </w:r>
      <w:proofErr w:type="spellEnd"/>
      <w:r w:rsidR="0073186C">
        <w:t xml:space="preserve"> </w:t>
      </w:r>
      <w:proofErr w:type="spellStart"/>
      <w:r w:rsidR="0073186C">
        <w:t>Zhao</w:t>
      </w:r>
      <w:r w:rsidR="0073186C" w:rsidRPr="00AD4149">
        <w:rPr>
          <w:vertAlign w:val="superscript"/>
        </w:rPr>
        <w:t>a</w:t>
      </w:r>
      <w:proofErr w:type="spellEnd"/>
      <w:r w:rsidR="0073186C">
        <w:t xml:space="preserve">, </w:t>
      </w:r>
      <w:proofErr w:type="spellStart"/>
      <w:r w:rsidR="00B36187">
        <w:t>Yifeixue</w:t>
      </w:r>
      <w:proofErr w:type="spellEnd"/>
      <w:r w:rsidR="00B36187">
        <w:t xml:space="preserve"> Yang, </w:t>
      </w:r>
      <w:r w:rsidRPr="00DE63F6">
        <w:t xml:space="preserve">and </w:t>
      </w:r>
      <w:proofErr w:type="spellStart"/>
      <w:r w:rsidRPr="00DE63F6">
        <w:t>Dazhi</w:t>
      </w:r>
      <w:proofErr w:type="spellEnd"/>
      <w:r w:rsidRPr="00DE63F6">
        <w:t xml:space="preserve"> </w:t>
      </w:r>
      <w:proofErr w:type="spellStart"/>
      <w:r w:rsidRPr="00DE63F6">
        <w:t>Yin</w:t>
      </w:r>
      <w:r w:rsidRPr="00AD4149">
        <w:rPr>
          <w:vertAlign w:val="superscript"/>
        </w:rPr>
        <w:t>a</w:t>
      </w:r>
      <w:proofErr w:type="spellEnd"/>
      <w:r w:rsidRPr="00AD4149">
        <w:rPr>
          <w:vertAlign w:val="superscript"/>
        </w:rPr>
        <w:t>, b, *</w:t>
      </w:r>
    </w:p>
    <w:p w:rsidR="004154F9" w:rsidRPr="00DE63F6" w:rsidRDefault="004154F9" w:rsidP="004154F9">
      <w:r w:rsidRPr="00DE63F6">
        <w:rPr>
          <w:b/>
        </w:rPr>
        <w:t>Author affiliations</w:t>
      </w:r>
      <w:r w:rsidRPr="00DE63F6">
        <w:t xml:space="preserve">: </w:t>
      </w:r>
      <w:r w:rsidRPr="00AD4149">
        <w:rPr>
          <w:vertAlign w:val="superscript"/>
        </w:rPr>
        <w:t>a</w:t>
      </w:r>
      <w:r w:rsidRPr="00DE63F6">
        <w:t xml:space="preserve"> </w:t>
      </w:r>
      <w:r w:rsidRPr="00A24C1B">
        <w:rPr>
          <w:szCs w:val="22"/>
        </w:rPr>
        <w:t>Shanghai Key Laboratory of Brain Functional Genomics (Ministry of Education), Affiliated Mental Health Center (ECNU),</w:t>
      </w:r>
      <w:r>
        <w:rPr>
          <w:szCs w:val="22"/>
        </w:rPr>
        <w:t xml:space="preserve"> </w:t>
      </w:r>
      <w:r w:rsidRPr="00DE63F6">
        <w:t>School of Psychology and Cognitive Science, East China Normal University, Shanghai 200062, China;</w:t>
      </w:r>
    </w:p>
    <w:p w:rsidR="004154F9" w:rsidRPr="00DE63F6" w:rsidRDefault="004154F9" w:rsidP="004154F9">
      <w:r w:rsidRPr="00AD4149">
        <w:rPr>
          <w:vertAlign w:val="superscript"/>
        </w:rPr>
        <w:t>b</w:t>
      </w:r>
      <w:r w:rsidRPr="00DE63F6">
        <w:t xml:space="preserve"> Shanghai </w:t>
      </w:r>
      <w:proofErr w:type="spellStart"/>
      <w:r w:rsidRPr="00DE63F6">
        <w:t>Changning</w:t>
      </w:r>
      <w:proofErr w:type="spellEnd"/>
      <w:r w:rsidRPr="00DE63F6">
        <w:t xml:space="preserve"> Mental Health Center, Shanghai 200335, China</w:t>
      </w:r>
    </w:p>
    <w:p w:rsidR="004154F9" w:rsidRPr="001C5627" w:rsidRDefault="004154F9" w:rsidP="004154F9">
      <w:r w:rsidRPr="001C5627">
        <w:rPr>
          <w:b/>
        </w:rPr>
        <w:t>*Correspondence author</w:t>
      </w:r>
      <w:r w:rsidRPr="001C5627">
        <w:t>:</w:t>
      </w:r>
      <w:r w:rsidRPr="001C5627">
        <w:rPr>
          <w:rFonts w:hint="eastAsia"/>
        </w:rPr>
        <w:t xml:space="preserve"> </w:t>
      </w:r>
      <w:r w:rsidRPr="001C5627">
        <w:t>Dazhi Yin (dzyin@psy.ecnu.edu.cn).</w:t>
      </w:r>
    </w:p>
    <w:p w:rsidR="004154F9" w:rsidRPr="001C5627" w:rsidRDefault="004154F9" w:rsidP="004154F9"/>
    <w:p w:rsidR="00436BCD" w:rsidRPr="00DE63F6" w:rsidRDefault="004154F9" w:rsidP="004154F9">
      <w:r w:rsidRPr="001C5627">
        <w:rPr>
          <w:b/>
        </w:rPr>
        <w:t>Introduction</w:t>
      </w:r>
      <w:r w:rsidRPr="00DE63F6">
        <w:t>:</w:t>
      </w:r>
      <w:r w:rsidR="00436BCD">
        <w:t xml:space="preserve"> </w:t>
      </w:r>
      <w:r w:rsidR="00662F38">
        <w:t>Cognitive flexibility</w:t>
      </w:r>
      <w:r w:rsidR="00B52976">
        <w:t xml:space="preserve"> manifest</w:t>
      </w:r>
      <w:r w:rsidR="000D1618">
        <w:t>s</w:t>
      </w:r>
      <w:r w:rsidR="00B52976">
        <w:t xml:space="preserve"> in switching between various types of mental sets</w:t>
      </w:r>
      <w:r w:rsidR="000D1618">
        <w:t>.</w:t>
      </w:r>
      <w:r w:rsidR="00B52976">
        <w:t xml:space="preserve"> Perceptual switching (PS) refers to switching between perceptual sets (e.g. visual representations</w:t>
      </w:r>
      <w:r w:rsidR="00AB433E">
        <w:t xml:space="preserve"> of stimuli</w:t>
      </w:r>
      <w:r w:rsidR="00B52976">
        <w:t>), while response switching (RS) refers to switching between response sets</w:t>
      </w:r>
      <w:r w:rsidR="00C00385">
        <w:t xml:space="preserve"> </w:t>
      </w:r>
      <w:r w:rsidR="00C00385">
        <w:fldChar w:fldCharType="begin" w:fldLock="1"/>
      </w:r>
      <w:r w:rsidR="00C00385">
        <w:instrText>ADDIN CSL_CITATION {"citationItems":[{"id":"ITEM-1","itemData":{"author":[{"dropping-particle":"","family":"Rushworth","given":"M F S","non-dropping-particle":"","parse-names":false,"suffix":""},{"dropping-particle":"","family":"Hadland","given":"K A","non-dropping-particle":"","parse-names":false,"suffix":""},{"dropping-particle":"","family":"Paus","given":"T","non-dropping-particle":"","parse-names":false,"suffix":""},{"dropping-particle":"","family":"Sipila","given":"P K","non-dropping-particle":"","parse-names":false,"suffix":""}],"container-title":"Journal of neurophysiology","id":"ITEM-1","issued":{"date-parts":[["2002"]]},"publisher":"American Physiological SocietyBethesda, MD","title":"Role of the human medial frontal cortex in task switching: a combined fMRI and TMS study","type":"article-journal"},"uris":["http://www.mendeley.com/documents/?uuid=749b0d12-d3eb-408b-9886-e1e54583ae5d"]},{"id":"ITEM-2","itemData":{"DOI":"10.1002/hbm.21199","ISSN":"1065-9471","abstract":"One of our highest evolved functions as human beings is our capacity to switch between multiple tasks effectively. A body of research has identified a distributed frontoparietal network of brain regions which contribute to task switching. However, relatively less is known about whether some brain regions may contribute to switching in a domain-general manner while others may be more preferential for different kinds of switching. To explore this issue, we conducted three meta-analyses focusing on different types of task switching frequently used in the literature (perceptual, response, and context switching), and created a conjunction map of these distinct switch types. A total of 36 switching studies with 562 activation coordinates were analyzed using the activation likelihood estimation method. Common areas associated with switching across switch type included the inferior frontal junction and posterior parietal cortex. In contrast, domain-preferential activation was observed for perceptual switching in the dorsal portion of the premotor cortex and for context switching in frontopolar cortex. Our results suggest that some regions within the frontoparietal network contribute to domain-general switching processes while others contribute to more domain-preferential processes, according to the type of task switch performed.","author":[{"dropping-particle":"","family":"Kim","given":"Chobok","non-dropping-particle":"","parse-names":false,"suffix":""},{"dropping-particle":"","family":"Cilles","given":"Sara E","non-dropping-particle":"","parse-names":false,"suffix":""},{"dropping-particle":"","family":"Johnson","given":"Nathan F","non-dropping-particle":"","parse-names":false,"suffix":""},{"dropping-particle":"","family":"Gold","given":"Brian T","non-dropping-particle":"","parse-names":false,"suffix":""}],"container-title":"Human brain mapping","id":"ITEM-2","issue":"1","issued":{"date-parts":[["2012"]]},"language":"eng","page":"130-142","publisher-place":"Department of Anatomy and Neurobiology, University of Kentucky, Lexington, Kentucky 40536-0098, USA.","title":"Domain general and domain preferential brain regions associated with different types of task switching: a meta-analysis","type":"article-journal","volume":"33"},"uris":["http://www.mendeley.com/documents/?uuid=fe84addc-727c-4819-9f1a-b700b810cbcd"]}],"mendeley":{"formattedCitation":"(Kim et al., 2012; Rushworth et al., 2002)","plainTextFormattedCitation":"(Kim et al., 2012; Rushworth et al., 2002)","previouslyFormattedCitation":"(Kim et al., 2012; Rushworth et al., 2002)"},"properties":{"noteIndex":0},"schema":"https://github.com/citation-style-language/schema/raw/master/csl-citation.json"}</w:instrText>
      </w:r>
      <w:r w:rsidR="00C00385">
        <w:fldChar w:fldCharType="separate"/>
      </w:r>
      <w:r w:rsidR="00C00385" w:rsidRPr="00C00385">
        <w:rPr>
          <w:noProof/>
        </w:rPr>
        <w:t>(Kim et al., 2012; Rushworth et al., 2002)</w:t>
      </w:r>
      <w:r w:rsidR="00C00385">
        <w:fldChar w:fldCharType="end"/>
      </w:r>
      <w:r w:rsidR="00B52976">
        <w:t xml:space="preserve">. </w:t>
      </w:r>
      <w:r w:rsidR="005122FA">
        <w:t>It is not clear whether the two types of cognitive flexibility differ in task preparation and execution</w:t>
      </w:r>
      <w:r w:rsidR="00C00385">
        <w:t xml:space="preserve"> </w:t>
      </w:r>
      <w:r w:rsidR="00C00385">
        <w:fldChar w:fldCharType="begin" w:fldLock="1"/>
      </w:r>
      <w:r w:rsidR="003A5EF9">
        <w:instrText>ADDIN CSL_CITATION {"citationItems":[{"id":"ITEM-1","itemData":{"ISSN":"1939-1455","author":[{"dropping-particle":"","family":"Kiesel","given":"Andrea","non-dropping-particle":"","parse-names":false,"suffix":""},{"dropping-particle":"","family":"Steinhauser","given":"Marco","non-dropping-particle":"","parse-names":false,"suffix":""},{"dropping-particle":"","family":"Wendt","given":"Mike","non-dropping-particle":"","parse-names":false,"suffix":""},{"dropping-particle":"","family":"Falkenstein","given":"Michael","non-dropping-particle":"","parse-names":false,"suffix":""},{"dropping-particle":"","family":"Jost","given":"Kerstin","non-dropping-particle":"","parse-names":false,"suffix":""},{"dropping-particle":"","family":"Philipp","given":"Andrea M","non-dropping-particle":"","parse-names":false,"suffix":""},{"dropping-particle":"","family":"Koch","given":"Iring","non-dropping-particle":"","parse-names":false,"suffix":""}],"container-title":"Psychological bulletin","id":"ITEM-1","issue":"5","issued":{"date-parts":[["2010"]]},"page":"849","publisher":"American Psychological Association","title":"Control and interference in task switching—A review.","type":"article-journal","volume":"136"},"uris":["http://www.mendeley.com/documents/?uuid=f3aac6c4-31c4-469f-9bc5-33ebe15ce491"]}],"mendeley":{"formattedCitation":"(Kiesel et al., 2010)","plainTextFormattedCitation":"(Kiesel et al., 2010)","previouslyFormattedCitation":"(Kiesel et al., 2010)"},"properties":{"noteIndex":0},"schema":"https://github.com/citation-style-language/schema/raw/master/csl-citation.json"}</w:instrText>
      </w:r>
      <w:r w:rsidR="00C00385">
        <w:fldChar w:fldCharType="separate"/>
      </w:r>
      <w:r w:rsidR="00C00385" w:rsidRPr="00C00385">
        <w:rPr>
          <w:noProof/>
        </w:rPr>
        <w:t>(Kiesel et al., 2010)</w:t>
      </w:r>
      <w:r w:rsidR="00C00385">
        <w:fldChar w:fldCharType="end"/>
      </w:r>
      <w:r w:rsidR="005122FA">
        <w:t xml:space="preserve">, and whether </w:t>
      </w:r>
      <w:r w:rsidR="00DC04A5">
        <w:t>the two stages</w:t>
      </w:r>
      <w:r w:rsidR="005122FA">
        <w:t xml:space="preserve"> were supported by the same </w:t>
      </w:r>
      <w:r w:rsidR="004307F7">
        <w:t xml:space="preserve">functional </w:t>
      </w:r>
      <w:r w:rsidR="005122FA">
        <w:t>network.</w:t>
      </w:r>
    </w:p>
    <w:p w:rsidR="00083B52" w:rsidRDefault="004154F9" w:rsidP="004154F9">
      <w:r w:rsidRPr="001C5627">
        <w:rPr>
          <w:b/>
        </w:rPr>
        <w:t>Materials and Methods</w:t>
      </w:r>
      <w:r w:rsidRPr="00DE63F6">
        <w:t>:</w:t>
      </w:r>
      <w:r w:rsidR="00D70327">
        <w:t xml:space="preserve"> A total of 66</w:t>
      </w:r>
      <w:r w:rsidR="00B25254">
        <w:t xml:space="preserve"> (33 males)</w:t>
      </w:r>
      <w:r w:rsidR="00D70327">
        <w:t xml:space="preserve"> healthy college students performed PS and RS tasks </w:t>
      </w:r>
      <w:r w:rsidR="00EC1F99">
        <w:t>in</w:t>
      </w:r>
      <w:r w:rsidR="00D70327">
        <w:t xml:space="preserve"> the </w:t>
      </w:r>
      <w:r w:rsidR="00D70327" w:rsidRPr="00D70327">
        <w:t>magnetic resonance imaging</w:t>
      </w:r>
      <w:r w:rsidR="00D70327">
        <w:t xml:space="preserve"> (MRI) </w:t>
      </w:r>
      <w:r w:rsidR="00EC1F99">
        <w:t>scanner</w:t>
      </w:r>
      <w:r w:rsidR="00D70327">
        <w:t>.</w:t>
      </w:r>
      <w:r w:rsidR="00B25254">
        <w:t xml:space="preserve"> </w:t>
      </w:r>
      <w:r w:rsidR="00D769F0">
        <w:t xml:space="preserve">In the PS task, participants </w:t>
      </w:r>
      <w:r w:rsidR="00336369">
        <w:t xml:space="preserve">were instructed to </w:t>
      </w:r>
      <w:r w:rsidR="00D769F0">
        <w:t xml:space="preserve">perform a color </w:t>
      </w:r>
      <w:r w:rsidR="00D769F0" w:rsidRPr="00D769F0">
        <w:t>discrimination</w:t>
      </w:r>
      <w:r w:rsidR="00D769F0">
        <w:t xml:space="preserve"> task or a direction discrimination task</w:t>
      </w:r>
      <w:r w:rsidR="001C3256">
        <w:t xml:space="preserve"> </w:t>
      </w:r>
      <w:r w:rsidR="00D769F0">
        <w:t xml:space="preserve">when they were presented </w:t>
      </w:r>
      <w:r w:rsidR="002806AB">
        <w:t xml:space="preserve">with </w:t>
      </w:r>
      <w:r w:rsidR="00D769F0">
        <w:t xml:space="preserve">a red or blue arrow. In the RS task, participants were </w:t>
      </w:r>
      <w:r w:rsidR="001C3256">
        <w:t>instructed</w:t>
      </w:r>
      <w:r w:rsidR="00D769F0">
        <w:t xml:space="preserve"> to respond to a horizontal or vertical line with two </w:t>
      </w:r>
      <w:r w:rsidR="00391456">
        <w:t>reversal</w:t>
      </w:r>
      <w:r w:rsidR="00D769F0">
        <w:t xml:space="preserve"> response rules. </w:t>
      </w:r>
      <w:r w:rsidR="00CC57EB">
        <w:t xml:space="preserve">A fixation </w:t>
      </w:r>
      <w:r w:rsidR="006D6129">
        <w:t xml:space="preserve">cross </w:t>
      </w:r>
      <w:r w:rsidR="00CC57EB">
        <w:t xml:space="preserve">was presented for 700 </w:t>
      </w:r>
      <w:proofErr w:type="spellStart"/>
      <w:r w:rsidR="00CC57EB">
        <w:t>ms</w:t>
      </w:r>
      <w:proofErr w:type="spellEnd"/>
      <w:r w:rsidR="00CC57EB">
        <w:t xml:space="preserve"> followed by a graph</w:t>
      </w:r>
      <w:r w:rsidR="00E04576">
        <w:t>ical</w:t>
      </w:r>
      <w:r w:rsidR="00CC57EB">
        <w:t xml:space="preserve"> cue </w:t>
      </w:r>
      <w:r w:rsidR="002806AB">
        <w:t>that</w:t>
      </w:r>
      <w:r w:rsidR="00CC57EB">
        <w:t xml:space="preserve"> </w:t>
      </w:r>
      <w:r w:rsidR="00636814">
        <w:t xml:space="preserve">indicated the task rule and </w:t>
      </w:r>
      <w:r w:rsidR="00CC57EB">
        <w:t xml:space="preserve">lasted </w:t>
      </w:r>
      <w:r w:rsidR="00E04576">
        <w:t xml:space="preserve">for </w:t>
      </w:r>
      <w:r w:rsidR="00CC57EB">
        <w:t>30</w:t>
      </w:r>
      <w:r w:rsidR="00E04576">
        <w:t>0</w:t>
      </w:r>
      <w:r w:rsidR="00CC57EB">
        <w:t xml:space="preserve"> </w:t>
      </w:r>
      <w:proofErr w:type="spellStart"/>
      <w:r w:rsidR="00CC57EB">
        <w:t>ms</w:t>
      </w:r>
      <w:r w:rsidR="006D6129">
        <w:t>.</w:t>
      </w:r>
      <w:proofErr w:type="spellEnd"/>
      <w:r w:rsidR="006D6129">
        <w:t xml:space="preserve"> When the cue disappeared, the stimulus was presented for 1 s, and participants had 2 s to respond with their right index or middle finger.</w:t>
      </w:r>
      <w:r w:rsidR="00D769F0">
        <w:t xml:space="preserve"> </w:t>
      </w:r>
      <w:r w:rsidR="00391456">
        <w:t>The inter-trial interval was 2-8 s.</w:t>
      </w:r>
      <w:r w:rsidR="00391456">
        <w:rPr>
          <w:rFonts w:hint="eastAsia"/>
        </w:rPr>
        <w:t xml:space="preserve"> </w:t>
      </w:r>
      <w:r w:rsidR="000C0E2F">
        <w:t xml:space="preserve">In repeat trials, the current task rule was the same </w:t>
      </w:r>
      <w:r w:rsidR="002806AB">
        <w:t>as</w:t>
      </w:r>
      <w:r w:rsidR="000C0E2F">
        <w:t xml:space="preserve"> the prior trial, wh</w:t>
      </w:r>
      <w:r w:rsidR="002806AB">
        <w:t>ereas</w:t>
      </w:r>
      <w:r w:rsidR="000C0E2F">
        <w:t xml:space="preserve"> in switch trials, the current task rule was different from the prior trial. Switch cost was defined as the performance differences between switch and repeat trials.</w:t>
      </w:r>
      <w:r w:rsidR="000C0E2F">
        <w:rPr>
          <w:rFonts w:hint="eastAsia"/>
        </w:rPr>
        <w:t xml:space="preserve"> </w:t>
      </w:r>
      <w:r w:rsidR="006D6129">
        <w:t>For each switching task, there were 128 trials in a p</w:t>
      </w:r>
      <w:r w:rsidR="006D6129" w:rsidRPr="006D6129">
        <w:t>seudo</w:t>
      </w:r>
      <w:r w:rsidR="006D6129">
        <w:t>-</w:t>
      </w:r>
      <w:r w:rsidR="006D6129" w:rsidRPr="006D6129">
        <w:t>random sequence</w:t>
      </w:r>
      <w:r w:rsidR="006D6129">
        <w:t>, and the proportion of each subtask</w:t>
      </w:r>
      <w:r w:rsidR="00D769F0">
        <w:t xml:space="preserve"> </w:t>
      </w:r>
      <w:r w:rsidR="006D6129">
        <w:t xml:space="preserve">and each </w:t>
      </w:r>
      <w:r w:rsidR="00391456">
        <w:t>condition</w:t>
      </w:r>
      <w:r w:rsidR="006D6129">
        <w:t xml:space="preserve"> (switch or repeat) was about 50%</w:t>
      </w:r>
      <w:r w:rsidR="00391456">
        <w:t>.</w:t>
      </w:r>
      <w:r w:rsidR="00153CDE">
        <w:t xml:space="preserve"> </w:t>
      </w:r>
    </w:p>
    <w:p w:rsidR="00D70F96" w:rsidRDefault="00083B52" w:rsidP="0059223A">
      <w:pPr>
        <w:ind w:firstLineChars="200" w:firstLine="420"/>
      </w:pPr>
      <w:r>
        <w:t xml:space="preserve">For behavioral data, we first examined switch </w:t>
      </w:r>
      <w:r w:rsidR="003A5EF9">
        <w:t>costs</w:t>
      </w:r>
      <w:r w:rsidR="0059223A">
        <w:t xml:space="preserve"> for each task and compare</w:t>
      </w:r>
      <w:r w:rsidR="003A5EF9">
        <w:t>d</w:t>
      </w:r>
      <w:r w:rsidR="006D6129">
        <w:t xml:space="preserve"> </w:t>
      </w:r>
      <w:r w:rsidR="00D224B5">
        <w:rPr>
          <w:rFonts w:hint="eastAsia"/>
        </w:rPr>
        <w:t>them</w:t>
      </w:r>
      <w:r w:rsidR="00D224B5">
        <w:t xml:space="preserve"> </w:t>
      </w:r>
      <w:r w:rsidR="001A0233">
        <w:t xml:space="preserve">using </w:t>
      </w:r>
      <w:r w:rsidR="00D224B5" w:rsidRPr="00D224B5">
        <w:t>paired t-tests</w:t>
      </w:r>
      <w:r w:rsidR="0059223A">
        <w:t xml:space="preserve">. Then we decomposed the reaction time (RT) </w:t>
      </w:r>
      <w:r w:rsidR="00D224B5">
        <w:t>for</w:t>
      </w:r>
      <w:r w:rsidR="0059223A">
        <w:t xml:space="preserve"> each task using</w:t>
      </w:r>
      <w:r w:rsidR="00326D01">
        <w:t xml:space="preserve"> the</w:t>
      </w:r>
      <w:r w:rsidR="00D224B5">
        <w:t xml:space="preserve"> </w:t>
      </w:r>
      <w:r w:rsidR="00D224B5" w:rsidRPr="00D224B5">
        <w:t>drift</w:t>
      </w:r>
      <w:r w:rsidR="00FE4666">
        <w:t>-</w:t>
      </w:r>
      <w:r w:rsidR="00D224B5" w:rsidRPr="00D224B5">
        <w:t>diffusion model</w:t>
      </w:r>
      <w:r w:rsidR="00326D01">
        <w:t xml:space="preserve">. The non-decision time (t0) and drift rate (v), corresponding to task preparation and task execution stages, were allowed to vary </w:t>
      </w:r>
      <w:r w:rsidR="004C20B2">
        <w:t xml:space="preserve">over </w:t>
      </w:r>
      <w:r w:rsidR="00326D01">
        <w:t>switch and repeat conditions</w:t>
      </w:r>
      <w:r w:rsidR="003A5EF9">
        <w:t xml:space="preserve"> </w:t>
      </w:r>
      <w:r w:rsidR="003A5EF9">
        <w:fldChar w:fldCharType="begin" w:fldLock="1"/>
      </w:r>
      <w:r w:rsidR="00F93F58">
        <w:instrText>ADDIN CSL_CITATION {"citationItems":[{"id":"ITEM-1","itemData":{"ISSN":"1939-1277","author":[{"dropping-particle":"","family":"Schmitz","given":"Florian","non-dropping-particle":"","parse-names":false,"suffix":""},{"dropping-particle":"","family":"Voss","given":"Andreas","non-dropping-particle":"","parse-names":false,"suffix":""}],"container-title":"Journal of experimental psychology: human perception and performance","id":"ITEM-1","issue":"1","issued":{"date-parts":[["2012"]]},"page":"222","publisher":"American Psychological Association","title":"Decomposing task-switching costs with the diffusion model.","type":"article-journal","volume":"38"},"uris":["http://www.mendeley.com/documents/?uuid=64cdc680-cc45-4ff7-9be9-638ada3e49bc"]}],"mendeley":{"formattedCitation":"(Schmitz &amp; Voss, 2012)","plainTextFormattedCitation":"(Schmitz &amp; Voss, 2012)","previouslyFormattedCitation":"(Schmitz &amp; Voss, 2012)"},"properties":{"noteIndex":0},"schema":"https://github.com/citation-style-language/schema/raw/master/csl-citation.json"}</w:instrText>
      </w:r>
      <w:r w:rsidR="003A5EF9">
        <w:fldChar w:fldCharType="separate"/>
      </w:r>
      <w:r w:rsidR="003A5EF9" w:rsidRPr="003A5EF9">
        <w:rPr>
          <w:noProof/>
        </w:rPr>
        <w:t>(Schmitz &amp; Voss, 2012)</w:t>
      </w:r>
      <w:r w:rsidR="003A5EF9">
        <w:fldChar w:fldCharType="end"/>
      </w:r>
      <w:r w:rsidR="00326D01">
        <w:t>.</w:t>
      </w:r>
      <w:r w:rsidR="00FE0FB2">
        <w:t xml:space="preserve"> The </w:t>
      </w:r>
      <w:r w:rsidR="00FD14A4">
        <w:t>switch cost</w:t>
      </w:r>
      <w:r w:rsidR="00FE0FB2">
        <w:t xml:space="preserve"> of t0 and v </w:t>
      </w:r>
      <w:r w:rsidR="00FD14A4">
        <w:t xml:space="preserve">(switch vs. repeat) </w:t>
      </w:r>
      <w:r w:rsidR="00FE0FB2">
        <w:t xml:space="preserve">were compared between </w:t>
      </w:r>
      <w:r w:rsidR="00F93F58">
        <w:t>PS and RS</w:t>
      </w:r>
      <w:r w:rsidR="00FE0FB2">
        <w:t>.</w:t>
      </w:r>
    </w:p>
    <w:p w:rsidR="002B7B52" w:rsidRDefault="00CD286E" w:rsidP="0059223A">
      <w:pPr>
        <w:ind w:firstLineChars="200" w:firstLine="420"/>
      </w:pPr>
      <w:r>
        <w:rPr>
          <w:rFonts w:hint="eastAsia"/>
        </w:rPr>
        <w:t>F</w:t>
      </w:r>
      <w:r>
        <w:t xml:space="preserve">or functional MRI data, </w:t>
      </w:r>
      <w:r w:rsidR="00193D2D">
        <w:t>the first-level</w:t>
      </w:r>
      <w:r>
        <w:t xml:space="preserve"> general linear model (GLM) was applied </w:t>
      </w:r>
      <w:r w:rsidR="004C20B2">
        <w:t>to</w:t>
      </w:r>
      <w:r>
        <w:t xml:space="preserve"> preprocessed </w:t>
      </w:r>
      <w:r w:rsidR="00193D2D">
        <w:t>images in the SPM12 toolbox.</w:t>
      </w:r>
      <w:r w:rsidR="00A8728A">
        <w:t xml:space="preserve"> </w:t>
      </w:r>
      <w:r w:rsidR="00D224B5">
        <w:t>B</w:t>
      </w:r>
      <w:r w:rsidR="00D341E5">
        <w:t xml:space="preserve">rain activation was defined as the </w:t>
      </w:r>
      <w:r w:rsidR="00F93F58">
        <w:t xml:space="preserve">activity </w:t>
      </w:r>
      <w:r w:rsidR="00D341E5">
        <w:t>differences between switch and repeat conditions.</w:t>
      </w:r>
      <w:r w:rsidR="002B7B52">
        <w:t xml:space="preserve"> The Power264 atlas</w:t>
      </w:r>
      <w:r w:rsidR="00F93F58">
        <w:t xml:space="preserve"> </w:t>
      </w:r>
      <w:r w:rsidR="00F93F58">
        <w:fldChar w:fldCharType="begin" w:fldLock="1"/>
      </w:r>
      <w:r w:rsidR="00562BF0">
        <w:instrText>ADDIN CSL_CITATION {"citationItems":[{"id":"ITEM-1","itemData":{"ISSN":"0896-6273","author":[{"dropping-particle":"","family":"Power","given":"Jonathan D","non-dropping-particle":"","parse-names":false,"suffix":""},{"dropping-particle":"","family":"Cohen","given":"Alexander L","non-dropping-particle":"","parse-names":false,"suffix":""},{"dropping-particle":"","family":"Nelson","given":"Steven M","non-dropping-particle":"","parse-names":false,"suffix":""},{"dropping-particle":"","family":"Wig","given":"Gagan S","non-dropping-particle":"","parse-names":false,"suffix":""},{"dropping-particle":"","family":"Barnes","given":"Kelly Anne","non-dropping-particle":"","parse-names":false,"suffix":""},{"dropping-particle":"","family":"Church","given":"Jessica A","non-dropping-particle":"","parse-names":false,"suffix":""},{"dropping-particle":"","family":"Vogel","given":"Alecia C","non-dropping-particle":"","parse-names":false,"suffix":""},{"dropping-particle":"","family":"Laumann","given":"Timothy O","non-dropping-particle":"","parse-names":false,"suffix":""},{"dropping-particle":"","family":"Miezin","given":"Fran M","non-dropping-particle":"","parse-names":false,"suffix":""},{"dropping-particle":"","family":"Schlaggar","given":"Bradley L","non-dropping-particle":"","parse-names":false,"suffix":""}],"container-title":"Neuron","id":"ITEM-1","issue":"4","issued":{"date-parts":[["2011"]]},"page":"665-678","publisher":"Elsevier","title":"Functional network organization of the human brain","type":"article-journal","volume":"72"},"uris":["http://www.mendeley.com/documents/?uuid=ee762a4e-9c2c-49a2-9252-6c033deb4781"]}],"mendeley":{"formattedCitation":"(Power et al., 2011)","plainTextFormattedCitation":"(Power et al., 2011)","previouslyFormattedCitation":"(Power et al., 2011)"},"properties":{"noteIndex":0},"schema":"https://github.com/citation-style-language/schema/raw/master/csl-citation.json"}</w:instrText>
      </w:r>
      <w:r w:rsidR="00F93F58">
        <w:fldChar w:fldCharType="separate"/>
      </w:r>
      <w:r w:rsidR="00F93F58" w:rsidRPr="00F93F58">
        <w:rPr>
          <w:noProof/>
        </w:rPr>
        <w:t>(Power et al., 2011)</w:t>
      </w:r>
      <w:r w:rsidR="00F93F58">
        <w:fldChar w:fldCharType="end"/>
      </w:r>
      <w:r w:rsidR="002B7B52">
        <w:t xml:space="preserve"> was used to obtain network-level activations. Correlation analyses were performed between </w:t>
      </w:r>
      <w:r w:rsidR="00D224B5">
        <w:t>switch</w:t>
      </w:r>
      <w:r w:rsidR="002B7B52">
        <w:t xml:space="preserve"> </w:t>
      </w:r>
      <w:r w:rsidR="00D224B5">
        <w:t>cost</w:t>
      </w:r>
      <w:r w:rsidR="00256A21">
        <w:t>s</w:t>
      </w:r>
      <w:r w:rsidR="00D224B5">
        <w:t xml:space="preserve"> (RT, t0, and v) an</w:t>
      </w:r>
      <w:r w:rsidR="002B7B52">
        <w:t>d brain activations.</w:t>
      </w:r>
    </w:p>
    <w:p w:rsidR="00CD286E" w:rsidRDefault="002B7B52" w:rsidP="00FD14A4">
      <w:r w:rsidRPr="002F5DD8">
        <w:rPr>
          <w:rFonts w:hint="eastAsia"/>
          <w:b/>
        </w:rPr>
        <w:t>R</w:t>
      </w:r>
      <w:r w:rsidRPr="002F5DD8">
        <w:rPr>
          <w:b/>
        </w:rPr>
        <w:t xml:space="preserve">esults: </w:t>
      </w:r>
      <w:r>
        <w:t xml:space="preserve">(1) We observed significant </w:t>
      </w:r>
      <w:r w:rsidR="007C1D29">
        <w:t xml:space="preserve">RT </w:t>
      </w:r>
      <w:r>
        <w:t>switch cost</w:t>
      </w:r>
      <w:r w:rsidR="004C20B2">
        <w:t>s</w:t>
      </w:r>
      <w:r>
        <w:t xml:space="preserve"> in PS and RS tasks</w:t>
      </w:r>
      <w:r w:rsidR="005B5817">
        <w:t xml:space="preserve"> (</w:t>
      </w:r>
      <w:r w:rsidR="005A1B44" w:rsidRPr="00F42EAB">
        <w:rPr>
          <w:i/>
        </w:rPr>
        <w:t>t</w:t>
      </w:r>
      <w:r w:rsidR="005A1B44" w:rsidRPr="005B5817">
        <w:t xml:space="preserve"> (</w:t>
      </w:r>
      <w:r w:rsidR="00366401" w:rsidRPr="005B5817">
        <w:t>1,60)</w:t>
      </w:r>
      <w:r w:rsidR="00366401">
        <w:t xml:space="preserve"> </w:t>
      </w:r>
      <w:r w:rsidR="005A1B44">
        <w:t>&gt;</w:t>
      </w:r>
      <w:r w:rsidR="005B5817" w:rsidRPr="005B5817">
        <w:t xml:space="preserve"> </w:t>
      </w:r>
      <w:r w:rsidR="005A1B44">
        <w:t>8.22</w:t>
      </w:r>
      <w:r w:rsidR="005B5817" w:rsidRPr="005B5817">
        <w:t xml:space="preserve">, </w:t>
      </w:r>
      <w:r w:rsidR="005B5817" w:rsidRPr="005A1B44">
        <w:rPr>
          <w:i/>
        </w:rPr>
        <w:t>p</w:t>
      </w:r>
      <w:r w:rsidR="005B5817" w:rsidRPr="005B5817">
        <w:t xml:space="preserve"> </w:t>
      </w:r>
      <w:r w:rsidR="005A1B44">
        <w:t>&lt;</w:t>
      </w:r>
      <w:r w:rsidR="005B5817" w:rsidRPr="005B5817">
        <w:t xml:space="preserve"> </w:t>
      </w:r>
      <w:r w:rsidR="005A1B44">
        <w:t>0.001</w:t>
      </w:r>
      <w:r w:rsidR="005B5817">
        <w:t>)</w:t>
      </w:r>
      <w:r>
        <w:t xml:space="preserve">, but </w:t>
      </w:r>
      <w:r w:rsidR="00321C77">
        <w:t>the RT switch cost did not differ across tasks</w:t>
      </w:r>
      <w:r w:rsidR="005B5817" w:rsidRPr="005B5817">
        <w:t xml:space="preserve"> </w:t>
      </w:r>
      <w:r w:rsidR="005B5817">
        <w:t>(</w:t>
      </w:r>
      <w:r w:rsidR="00321C77">
        <w:rPr>
          <w:i/>
        </w:rPr>
        <w:t>t</w:t>
      </w:r>
      <w:r w:rsidR="005A1B44" w:rsidRPr="005B5817">
        <w:t xml:space="preserve"> (</w:t>
      </w:r>
      <w:r w:rsidR="005B5817" w:rsidRPr="005B5817">
        <w:t xml:space="preserve">1,60) </w:t>
      </w:r>
      <w:r w:rsidR="00F42EAB">
        <w:t>= 0.</w:t>
      </w:r>
      <w:r w:rsidR="00321C77">
        <w:t>23</w:t>
      </w:r>
      <w:r w:rsidR="005B5817" w:rsidRPr="005B5817">
        <w:t xml:space="preserve">, </w:t>
      </w:r>
      <w:r w:rsidR="005B5817" w:rsidRPr="00F42EAB">
        <w:rPr>
          <w:i/>
        </w:rPr>
        <w:t>p</w:t>
      </w:r>
      <w:r w:rsidR="00F42EAB">
        <w:t xml:space="preserve"> =</w:t>
      </w:r>
      <w:r w:rsidR="005B5817" w:rsidRPr="005B5817">
        <w:t xml:space="preserve"> 0.</w:t>
      </w:r>
      <w:r w:rsidR="00F42EAB">
        <w:t>82</w:t>
      </w:r>
      <w:r w:rsidR="005B5817">
        <w:t>)</w:t>
      </w:r>
      <w:r w:rsidR="002F5DD8">
        <w:t>.</w:t>
      </w:r>
      <w:r w:rsidR="007C1D29">
        <w:t xml:space="preserve"> (2) </w:t>
      </w:r>
      <w:r w:rsidR="00321C77">
        <w:t>As indicated by WAIC values, t</w:t>
      </w:r>
      <w:r w:rsidR="007C1D29">
        <w:t xml:space="preserve">he optimal models were the same </w:t>
      </w:r>
      <w:r w:rsidR="00816622">
        <w:t xml:space="preserve">across </w:t>
      </w:r>
      <w:r w:rsidR="007C1D29">
        <w:t xml:space="preserve">tasks where </w:t>
      </w:r>
      <w:r w:rsidR="008638DE">
        <w:t>non-decision time</w:t>
      </w:r>
      <w:r w:rsidR="007C1D29">
        <w:t xml:space="preserve"> and </w:t>
      </w:r>
      <w:r w:rsidR="008638DE">
        <w:t>drift rate</w:t>
      </w:r>
      <w:r w:rsidR="007C1D29">
        <w:t xml:space="preserve"> both </w:t>
      </w:r>
      <w:r w:rsidR="00321C77">
        <w:t>varied over switch and repeat trials</w:t>
      </w:r>
      <w:r w:rsidR="002F5DD8">
        <w:t xml:space="preserve">, the RS task showed </w:t>
      </w:r>
      <w:r w:rsidR="004C20B2">
        <w:t xml:space="preserve">a </w:t>
      </w:r>
      <w:r w:rsidR="002F5DD8">
        <w:t xml:space="preserve">larger </w:t>
      </w:r>
      <w:r w:rsidR="008638DE">
        <w:t>non-decision time</w:t>
      </w:r>
      <w:r w:rsidR="00FD14A4">
        <w:t xml:space="preserve"> </w:t>
      </w:r>
      <w:r w:rsidR="0004127D">
        <w:t>difference (switch vs. repeat)</w:t>
      </w:r>
      <w:r w:rsidR="00FD14A4">
        <w:t xml:space="preserve"> </w:t>
      </w:r>
      <w:r w:rsidR="002F5DD8">
        <w:t xml:space="preserve">compared </w:t>
      </w:r>
      <w:r w:rsidR="00A12C03">
        <w:t>with</w:t>
      </w:r>
      <w:r w:rsidR="002F5DD8">
        <w:t xml:space="preserve"> the PS task</w:t>
      </w:r>
      <w:r w:rsidR="005A1B44">
        <w:t xml:space="preserve"> (</w:t>
      </w:r>
      <w:r w:rsidR="005A1B44" w:rsidRPr="00F42EAB">
        <w:rPr>
          <w:i/>
        </w:rPr>
        <w:t>t</w:t>
      </w:r>
      <w:r w:rsidR="005A1B44" w:rsidRPr="005B5817">
        <w:t xml:space="preserve"> (1,60)</w:t>
      </w:r>
      <w:r w:rsidR="005A1B44">
        <w:t xml:space="preserve"> =</w:t>
      </w:r>
      <w:r w:rsidR="005A1B44" w:rsidRPr="005B5817">
        <w:t xml:space="preserve"> </w:t>
      </w:r>
      <w:r w:rsidR="005A1B44">
        <w:t>4.67</w:t>
      </w:r>
      <w:r w:rsidR="005A1B44" w:rsidRPr="005B5817">
        <w:t xml:space="preserve">, </w:t>
      </w:r>
      <w:r w:rsidR="005A1B44" w:rsidRPr="005A1B44">
        <w:rPr>
          <w:i/>
        </w:rPr>
        <w:t>p</w:t>
      </w:r>
      <w:r w:rsidR="005A1B44" w:rsidRPr="005B5817">
        <w:t xml:space="preserve"> </w:t>
      </w:r>
      <w:r w:rsidR="005A1B44">
        <w:t>&lt;</w:t>
      </w:r>
      <w:r w:rsidR="005A1B44" w:rsidRPr="005B5817">
        <w:t xml:space="preserve"> </w:t>
      </w:r>
      <w:r w:rsidR="005A1B44">
        <w:t>0.001)</w:t>
      </w:r>
      <w:r w:rsidR="002F5DD8">
        <w:t xml:space="preserve">, whereas the PS task showed </w:t>
      </w:r>
      <w:r w:rsidR="004C20B2">
        <w:t xml:space="preserve">a </w:t>
      </w:r>
      <w:r w:rsidR="002F5DD8">
        <w:t xml:space="preserve">larger </w:t>
      </w:r>
      <w:r w:rsidR="00C94FDA">
        <w:t>drift rate</w:t>
      </w:r>
      <w:r w:rsidR="00FD14A4">
        <w:t xml:space="preserve"> </w:t>
      </w:r>
      <w:r w:rsidR="0004127D">
        <w:t>difference (switch vs. repeat)</w:t>
      </w:r>
      <w:r w:rsidR="002F5DD8">
        <w:t xml:space="preserve"> relative to the RS task</w:t>
      </w:r>
      <w:r w:rsidR="005A1B44">
        <w:t xml:space="preserve"> (</w:t>
      </w:r>
      <w:r w:rsidR="005A1B44" w:rsidRPr="00F42EAB">
        <w:rPr>
          <w:i/>
        </w:rPr>
        <w:t>t</w:t>
      </w:r>
      <w:r w:rsidR="005A1B44" w:rsidRPr="005B5817">
        <w:t xml:space="preserve"> (1,60)</w:t>
      </w:r>
      <w:r w:rsidR="005A1B44">
        <w:t xml:space="preserve"> =</w:t>
      </w:r>
      <w:r w:rsidR="005A1B44" w:rsidRPr="005B5817">
        <w:t xml:space="preserve"> </w:t>
      </w:r>
      <w:r w:rsidR="005A1B44">
        <w:t>3.70</w:t>
      </w:r>
      <w:r w:rsidR="005A1B44" w:rsidRPr="005B5817">
        <w:t xml:space="preserve">, </w:t>
      </w:r>
      <w:r w:rsidR="005A1B44" w:rsidRPr="005A1B44">
        <w:rPr>
          <w:i/>
        </w:rPr>
        <w:t>p</w:t>
      </w:r>
      <w:r w:rsidR="005A1B44" w:rsidRPr="005B5817">
        <w:t xml:space="preserve"> </w:t>
      </w:r>
      <w:r w:rsidR="005A1B44">
        <w:t>&lt;</w:t>
      </w:r>
      <w:r w:rsidR="005A1B44" w:rsidRPr="005B5817">
        <w:t xml:space="preserve"> </w:t>
      </w:r>
      <w:r w:rsidR="005A1B44">
        <w:t>0.001)</w:t>
      </w:r>
      <w:r w:rsidR="002F5DD8">
        <w:t>.</w:t>
      </w:r>
      <w:r w:rsidR="00FD14A4">
        <w:t xml:space="preserve"> (3) </w:t>
      </w:r>
      <w:r w:rsidR="00321C77">
        <w:t>In both tasks, no significant correlations were found between brain activation</w:t>
      </w:r>
      <w:r w:rsidR="008638DE" w:rsidRPr="008638DE">
        <w:t xml:space="preserve"> </w:t>
      </w:r>
      <w:r w:rsidR="00321C77">
        <w:t>and RT switch cost (</w:t>
      </w:r>
      <w:r w:rsidR="00321C77">
        <w:rPr>
          <w:i/>
        </w:rPr>
        <w:t xml:space="preserve">r </w:t>
      </w:r>
      <w:r w:rsidR="00321C77">
        <w:t>&lt;</w:t>
      </w:r>
      <w:r w:rsidR="00321C77" w:rsidRPr="005B5817">
        <w:t xml:space="preserve"> </w:t>
      </w:r>
      <w:r w:rsidR="00321C77">
        <w:t>0.21</w:t>
      </w:r>
      <w:r w:rsidR="00321C77" w:rsidRPr="005B5817">
        <w:t xml:space="preserve">, </w:t>
      </w:r>
      <w:r w:rsidR="00321C77" w:rsidRPr="005A1B44">
        <w:rPr>
          <w:i/>
        </w:rPr>
        <w:t>p</w:t>
      </w:r>
      <w:r w:rsidR="00321C77" w:rsidRPr="005B5817">
        <w:t xml:space="preserve"> </w:t>
      </w:r>
      <w:r w:rsidR="00321C77">
        <w:t>&gt;</w:t>
      </w:r>
      <w:r w:rsidR="00321C77" w:rsidRPr="005B5817">
        <w:t xml:space="preserve"> </w:t>
      </w:r>
      <w:r w:rsidR="00321C77">
        <w:t>0.13). (4)</w:t>
      </w:r>
      <w:r w:rsidR="00581F4A">
        <w:t xml:space="preserve"> </w:t>
      </w:r>
      <w:r w:rsidR="00FD14A4">
        <w:t>In the RS task, activation of the frontoparietal</w:t>
      </w:r>
      <w:r w:rsidR="00581F4A">
        <w:t xml:space="preserve"> network</w:t>
      </w:r>
      <w:r w:rsidR="00FD14A4">
        <w:t xml:space="preserve"> </w:t>
      </w:r>
      <w:r w:rsidR="00935E30">
        <w:t xml:space="preserve">(FPN) </w:t>
      </w:r>
      <w:r w:rsidR="002E691F">
        <w:lastRenderedPageBreak/>
        <w:t>w</w:t>
      </w:r>
      <w:r w:rsidR="003A0253">
        <w:rPr>
          <w:rFonts w:hint="eastAsia"/>
        </w:rPr>
        <w:t>as</w:t>
      </w:r>
      <w:r w:rsidR="00FD14A4">
        <w:t xml:space="preserve"> correlated with </w:t>
      </w:r>
      <w:r w:rsidR="00581F4A">
        <w:t>non-decision time</w:t>
      </w:r>
      <w:r w:rsidR="00FD14A4">
        <w:t xml:space="preserve"> </w:t>
      </w:r>
      <w:r w:rsidR="00581F4A">
        <w:t>differences</w:t>
      </w:r>
      <w:r w:rsidR="007A5420">
        <w:t xml:space="preserve"> (</w:t>
      </w:r>
      <w:r w:rsidR="00935E30" w:rsidRPr="007A5420">
        <w:rPr>
          <w:rFonts w:hint="eastAsia"/>
          <w:i/>
        </w:rPr>
        <w:t>r</w:t>
      </w:r>
      <w:r w:rsidR="00935E30">
        <w:t xml:space="preserve"> = 0.2</w:t>
      </w:r>
      <w:r w:rsidR="00581F4A">
        <w:t>9</w:t>
      </w:r>
      <w:r w:rsidR="00935E30">
        <w:t xml:space="preserve">, </w:t>
      </w:r>
      <w:r w:rsidR="00935E30" w:rsidRPr="007A5420">
        <w:rPr>
          <w:i/>
        </w:rPr>
        <w:t>p</w:t>
      </w:r>
      <w:r w:rsidR="00935E30">
        <w:t xml:space="preserve"> = 0.0</w:t>
      </w:r>
      <w:r w:rsidR="00581F4A">
        <w:t>4</w:t>
      </w:r>
      <w:r w:rsidR="007A5420">
        <w:t>)</w:t>
      </w:r>
      <w:r w:rsidR="00581F4A">
        <w:t>, while</w:t>
      </w:r>
      <w:r w:rsidR="00FD14A4">
        <w:t xml:space="preserve"> </w:t>
      </w:r>
      <w:r w:rsidR="00581F4A">
        <w:t>i</w:t>
      </w:r>
      <w:r w:rsidR="00FD14A4">
        <w:t xml:space="preserve">n the PS task, </w:t>
      </w:r>
      <w:r w:rsidR="00581F4A">
        <w:t>activation of the</w:t>
      </w:r>
      <w:r w:rsidR="00FD14A4">
        <w:t xml:space="preserve"> FPN </w:t>
      </w:r>
      <w:r w:rsidR="002E691F">
        <w:t>w</w:t>
      </w:r>
      <w:r w:rsidR="003A0253">
        <w:t>as</w:t>
      </w:r>
      <w:r w:rsidR="00FD14A4">
        <w:t xml:space="preserve"> relevant to </w:t>
      </w:r>
      <w:r w:rsidR="00581F4A">
        <w:t xml:space="preserve">drift rate differences </w:t>
      </w:r>
      <w:r w:rsidR="007A5420">
        <w:t>(</w:t>
      </w:r>
      <w:r w:rsidR="007A5420" w:rsidRPr="007A5420">
        <w:rPr>
          <w:rFonts w:hint="eastAsia"/>
          <w:i/>
        </w:rPr>
        <w:t>r</w:t>
      </w:r>
      <w:r w:rsidR="007A5420">
        <w:t xml:space="preserve"> = 0.</w:t>
      </w:r>
      <w:r w:rsidR="00581F4A">
        <w:t>29</w:t>
      </w:r>
      <w:r w:rsidR="007A5420">
        <w:t xml:space="preserve">, </w:t>
      </w:r>
      <w:r w:rsidR="007A5420" w:rsidRPr="007A5420">
        <w:rPr>
          <w:i/>
        </w:rPr>
        <w:t>p</w:t>
      </w:r>
      <w:r w:rsidR="007A5420">
        <w:t xml:space="preserve"> = 0.0</w:t>
      </w:r>
      <w:r w:rsidR="00581F4A">
        <w:t>4</w:t>
      </w:r>
      <w:r w:rsidR="007A5420">
        <w:t>)</w:t>
      </w:r>
      <w:r w:rsidR="00EF4A0A">
        <w:t>.</w:t>
      </w:r>
    </w:p>
    <w:p w:rsidR="00B21179" w:rsidRDefault="00B21179" w:rsidP="00FD14A4">
      <w:r w:rsidRPr="00816622">
        <w:rPr>
          <w:rFonts w:hint="eastAsia"/>
          <w:b/>
        </w:rPr>
        <w:t>C</w:t>
      </w:r>
      <w:r w:rsidRPr="00816622">
        <w:rPr>
          <w:b/>
        </w:rPr>
        <w:t>onclusion:</w:t>
      </w:r>
      <w:r>
        <w:t xml:space="preserve"> </w:t>
      </w:r>
      <w:r w:rsidR="007A5420">
        <w:t xml:space="preserve">Task preparation may be more </w:t>
      </w:r>
      <w:r w:rsidR="00581F4A">
        <w:t xml:space="preserve">crucial </w:t>
      </w:r>
      <w:r w:rsidR="007A5420">
        <w:t xml:space="preserve">for </w:t>
      </w:r>
      <w:r w:rsidR="00E968FC">
        <w:t xml:space="preserve">the </w:t>
      </w:r>
      <w:r w:rsidR="00581F4A">
        <w:t xml:space="preserve">switch cost of </w:t>
      </w:r>
      <w:r w:rsidR="007A5420">
        <w:t xml:space="preserve">response switching </w:t>
      </w:r>
      <w:r w:rsidR="00581F4A">
        <w:t xml:space="preserve">compared with perceptual switching, </w:t>
      </w:r>
      <w:r w:rsidR="007A5420">
        <w:t>while task execution may</w:t>
      </w:r>
      <w:r w:rsidR="00581F4A">
        <w:t xml:space="preserve"> play a more</w:t>
      </w:r>
      <w:r w:rsidR="007A5420">
        <w:t xml:space="preserve"> </w:t>
      </w:r>
      <w:r w:rsidR="00581F4A">
        <w:t>important</w:t>
      </w:r>
      <w:r w:rsidR="007A5420">
        <w:t xml:space="preserve"> </w:t>
      </w:r>
      <w:r w:rsidR="00581F4A">
        <w:t xml:space="preserve">role in </w:t>
      </w:r>
      <w:r w:rsidR="00E968FC">
        <w:t xml:space="preserve">the </w:t>
      </w:r>
      <w:r w:rsidR="00581F4A">
        <w:t xml:space="preserve">switch cost of </w:t>
      </w:r>
      <w:r w:rsidR="007A5420">
        <w:t>perceptual switching</w:t>
      </w:r>
      <w:r w:rsidR="00581F4A">
        <w:t xml:space="preserve"> relative to response switching</w:t>
      </w:r>
      <w:r w:rsidR="007A5420">
        <w:t xml:space="preserve">. </w:t>
      </w:r>
      <w:r w:rsidR="0089491B">
        <w:t>A</w:t>
      </w:r>
      <w:r w:rsidR="007A5420">
        <w:t xml:space="preserve">ctivation of the FPN </w:t>
      </w:r>
      <w:r w:rsidR="0089491B">
        <w:t>support</w:t>
      </w:r>
      <w:r w:rsidR="003A0253">
        <w:t>s</w:t>
      </w:r>
      <w:r w:rsidR="007A5420">
        <w:t xml:space="preserve"> </w:t>
      </w:r>
      <w:r w:rsidR="0072265A">
        <w:t xml:space="preserve">the </w:t>
      </w:r>
      <w:r w:rsidR="007A5420">
        <w:t xml:space="preserve">performance of </w:t>
      </w:r>
      <w:r w:rsidR="0089491B">
        <w:t>perceptual and response switching at</w:t>
      </w:r>
      <w:r w:rsidR="00816622">
        <w:t xml:space="preserve"> different stages</w:t>
      </w:r>
      <w:r w:rsidR="002E691F">
        <w:t xml:space="preserve">. </w:t>
      </w:r>
      <w:r w:rsidR="00D925AC">
        <w:t>Our findings reveal dissociable cognitive mechanisms and the underlying neural supports of perceptual and response switching.</w:t>
      </w:r>
    </w:p>
    <w:p w:rsidR="00562BF0" w:rsidRDefault="00562BF0" w:rsidP="00FD14A4"/>
    <w:p w:rsidR="00562BF0" w:rsidRPr="00562BF0" w:rsidRDefault="00562BF0" w:rsidP="00FD14A4">
      <w:pPr>
        <w:rPr>
          <w:b/>
        </w:rPr>
      </w:pPr>
      <w:r w:rsidRPr="00562BF0">
        <w:rPr>
          <w:b/>
        </w:rPr>
        <w:t>References</w:t>
      </w:r>
    </w:p>
    <w:p w:rsidR="00562BF0" w:rsidRPr="00562BF0" w:rsidRDefault="00562BF0" w:rsidP="00562BF0">
      <w:pPr>
        <w:autoSpaceDE w:val="0"/>
        <w:autoSpaceDN w:val="0"/>
        <w:adjustRightInd w:val="0"/>
        <w:ind w:left="480" w:hanging="480"/>
        <w:jc w:val="left"/>
        <w:rPr>
          <w:noProof/>
          <w:kern w:val="0"/>
          <w:sz w:val="20"/>
          <w:szCs w:val="24"/>
        </w:rPr>
      </w:pPr>
      <w:r>
        <w:fldChar w:fldCharType="begin" w:fldLock="1"/>
      </w:r>
      <w:r>
        <w:instrText xml:space="preserve">ADDIN Mendeley Bibliography CSL_BIBLIOGRAPHY </w:instrText>
      </w:r>
      <w:r>
        <w:fldChar w:fldCharType="separate"/>
      </w:r>
      <w:r w:rsidRPr="00562BF0">
        <w:rPr>
          <w:noProof/>
          <w:kern w:val="0"/>
          <w:sz w:val="20"/>
          <w:szCs w:val="24"/>
        </w:rPr>
        <w:t xml:space="preserve">Kiesel, A., Steinhauser, M., Wendt, M., Falkenstein, M., Jost, K., Philipp, A. M., &amp; Koch, I. (2010). Control and interference in task switching—A review. </w:t>
      </w:r>
      <w:r w:rsidRPr="00562BF0">
        <w:rPr>
          <w:i/>
          <w:iCs/>
          <w:noProof/>
          <w:kern w:val="0"/>
          <w:sz w:val="20"/>
          <w:szCs w:val="24"/>
        </w:rPr>
        <w:t>Psychological Bulletin</w:t>
      </w:r>
      <w:r w:rsidRPr="00562BF0">
        <w:rPr>
          <w:noProof/>
          <w:kern w:val="0"/>
          <w:sz w:val="20"/>
          <w:szCs w:val="24"/>
        </w:rPr>
        <w:t xml:space="preserve">, </w:t>
      </w:r>
      <w:r w:rsidRPr="00562BF0">
        <w:rPr>
          <w:i/>
          <w:iCs/>
          <w:noProof/>
          <w:kern w:val="0"/>
          <w:sz w:val="20"/>
          <w:szCs w:val="24"/>
        </w:rPr>
        <w:t>136</w:t>
      </w:r>
      <w:r w:rsidRPr="00562BF0">
        <w:rPr>
          <w:noProof/>
          <w:kern w:val="0"/>
          <w:sz w:val="20"/>
          <w:szCs w:val="24"/>
        </w:rPr>
        <w:t>(5), 849.</w:t>
      </w:r>
    </w:p>
    <w:p w:rsidR="00562BF0" w:rsidRPr="00562BF0" w:rsidRDefault="00562BF0" w:rsidP="00562BF0">
      <w:pPr>
        <w:autoSpaceDE w:val="0"/>
        <w:autoSpaceDN w:val="0"/>
        <w:adjustRightInd w:val="0"/>
        <w:ind w:left="480" w:hanging="480"/>
        <w:jc w:val="left"/>
        <w:rPr>
          <w:noProof/>
          <w:kern w:val="0"/>
          <w:sz w:val="20"/>
          <w:szCs w:val="24"/>
        </w:rPr>
      </w:pPr>
      <w:r w:rsidRPr="00562BF0">
        <w:rPr>
          <w:noProof/>
          <w:kern w:val="0"/>
          <w:sz w:val="20"/>
          <w:szCs w:val="24"/>
        </w:rPr>
        <w:t xml:space="preserve">Kim, C., Cilles, S. E., Johnson, N. F., &amp; Gold, B. T. (2012). Domain general and domain preferential brain regions associated with different types of task switching: a meta-analysis. </w:t>
      </w:r>
      <w:r w:rsidRPr="00562BF0">
        <w:rPr>
          <w:i/>
          <w:iCs/>
          <w:noProof/>
          <w:kern w:val="0"/>
          <w:sz w:val="20"/>
          <w:szCs w:val="24"/>
        </w:rPr>
        <w:t>Human Brain Mapping</w:t>
      </w:r>
      <w:r w:rsidRPr="00562BF0">
        <w:rPr>
          <w:noProof/>
          <w:kern w:val="0"/>
          <w:sz w:val="20"/>
          <w:szCs w:val="24"/>
        </w:rPr>
        <w:t xml:space="preserve">, </w:t>
      </w:r>
      <w:r w:rsidRPr="00562BF0">
        <w:rPr>
          <w:i/>
          <w:iCs/>
          <w:noProof/>
          <w:kern w:val="0"/>
          <w:sz w:val="20"/>
          <w:szCs w:val="24"/>
        </w:rPr>
        <w:t>33</w:t>
      </w:r>
      <w:r w:rsidRPr="00562BF0">
        <w:rPr>
          <w:noProof/>
          <w:kern w:val="0"/>
          <w:sz w:val="20"/>
          <w:szCs w:val="24"/>
        </w:rPr>
        <w:t>(1), 130–142. https://doi.org/10.1002/hbm.21199</w:t>
      </w:r>
    </w:p>
    <w:p w:rsidR="00562BF0" w:rsidRPr="00562BF0" w:rsidRDefault="00562BF0" w:rsidP="00562BF0">
      <w:pPr>
        <w:autoSpaceDE w:val="0"/>
        <w:autoSpaceDN w:val="0"/>
        <w:adjustRightInd w:val="0"/>
        <w:ind w:left="480" w:hanging="480"/>
        <w:jc w:val="left"/>
        <w:rPr>
          <w:noProof/>
          <w:kern w:val="0"/>
          <w:sz w:val="20"/>
          <w:szCs w:val="24"/>
        </w:rPr>
      </w:pPr>
      <w:r w:rsidRPr="00562BF0">
        <w:rPr>
          <w:noProof/>
          <w:kern w:val="0"/>
          <w:sz w:val="20"/>
          <w:szCs w:val="24"/>
        </w:rPr>
        <w:t xml:space="preserve">Power, J. D., Cohen, A. L., Nelson, S. M., Wig, G. S., Barnes, K. A., Church, J. A., Vogel, A. C., Laumann, T. O., Miezin, F. M., &amp; Schlaggar, B. L. (2011). Functional network organization of the human brain. </w:t>
      </w:r>
      <w:r w:rsidRPr="00562BF0">
        <w:rPr>
          <w:i/>
          <w:iCs/>
          <w:noProof/>
          <w:kern w:val="0"/>
          <w:sz w:val="20"/>
          <w:szCs w:val="24"/>
        </w:rPr>
        <w:t>Neuron</w:t>
      </w:r>
      <w:r w:rsidRPr="00562BF0">
        <w:rPr>
          <w:noProof/>
          <w:kern w:val="0"/>
          <w:sz w:val="20"/>
          <w:szCs w:val="24"/>
        </w:rPr>
        <w:t xml:space="preserve">, </w:t>
      </w:r>
      <w:r w:rsidRPr="00562BF0">
        <w:rPr>
          <w:i/>
          <w:iCs/>
          <w:noProof/>
          <w:kern w:val="0"/>
          <w:sz w:val="20"/>
          <w:szCs w:val="24"/>
        </w:rPr>
        <w:t>72</w:t>
      </w:r>
      <w:r w:rsidRPr="00562BF0">
        <w:rPr>
          <w:noProof/>
          <w:kern w:val="0"/>
          <w:sz w:val="20"/>
          <w:szCs w:val="24"/>
        </w:rPr>
        <w:t>(4), 665–678.</w:t>
      </w:r>
    </w:p>
    <w:p w:rsidR="00562BF0" w:rsidRPr="00562BF0" w:rsidRDefault="00562BF0" w:rsidP="00562BF0">
      <w:pPr>
        <w:autoSpaceDE w:val="0"/>
        <w:autoSpaceDN w:val="0"/>
        <w:adjustRightInd w:val="0"/>
        <w:ind w:left="480" w:hanging="480"/>
        <w:jc w:val="left"/>
        <w:rPr>
          <w:noProof/>
          <w:kern w:val="0"/>
          <w:sz w:val="20"/>
          <w:szCs w:val="24"/>
        </w:rPr>
      </w:pPr>
      <w:r w:rsidRPr="00562BF0">
        <w:rPr>
          <w:noProof/>
          <w:kern w:val="0"/>
          <w:sz w:val="20"/>
          <w:szCs w:val="24"/>
        </w:rPr>
        <w:t xml:space="preserve">Rushworth, M. F. S., Hadland, K. A., Paus, T., &amp; Sipila, P. K. (2002). Role of the human medial frontal cortex in task switching: a combined fMRI and TMS study. </w:t>
      </w:r>
      <w:r w:rsidRPr="00562BF0">
        <w:rPr>
          <w:i/>
          <w:iCs/>
          <w:noProof/>
          <w:kern w:val="0"/>
          <w:sz w:val="20"/>
          <w:szCs w:val="24"/>
        </w:rPr>
        <w:t>Journal of Neurophysiology</w:t>
      </w:r>
      <w:r w:rsidRPr="00562BF0">
        <w:rPr>
          <w:noProof/>
          <w:kern w:val="0"/>
          <w:sz w:val="20"/>
          <w:szCs w:val="24"/>
        </w:rPr>
        <w:t>.</w:t>
      </w:r>
    </w:p>
    <w:p w:rsidR="00562BF0" w:rsidRDefault="00562BF0" w:rsidP="00562BF0">
      <w:pPr>
        <w:autoSpaceDE w:val="0"/>
        <w:autoSpaceDN w:val="0"/>
        <w:adjustRightInd w:val="0"/>
        <w:ind w:left="480" w:hanging="480"/>
        <w:jc w:val="left"/>
        <w:rPr>
          <w:noProof/>
          <w:kern w:val="0"/>
          <w:sz w:val="20"/>
          <w:szCs w:val="24"/>
        </w:rPr>
      </w:pPr>
      <w:r w:rsidRPr="00562BF0">
        <w:rPr>
          <w:noProof/>
          <w:kern w:val="0"/>
          <w:sz w:val="20"/>
          <w:szCs w:val="24"/>
        </w:rPr>
        <w:t xml:space="preserve">Schmitz, F., &amp; Voss, A. (2012). Decomposing task-switching costs with the diffusion model. </w:t>
      </w:r>
      <w:r w:rsidRPr="00562BF0">
        <w:rPr>
          <w:i/>
          <w:iCs/>
          <w:noProof/>
          <w:kern w:val="0"/>
          <w:sz w:val="20"/>
          <w:szCs w:val="24"/>
        </w:rPr>
        <w:t>Journal of Experimental Psychology: Human Perception and Performance</w:t>
      </w:r>
      <w:r w:rsidRPr="00562BF0">
        <w:rPr>
          <w:noProof/>
          <w:kern w:val="0"/>
          <w:sz w:val="20"/>
          <w:szCs w:val="24"/>
        </w:rPr>
        <w:t xml:space="preserve">, </w:t>
      </w:r>
      <w:r w:rsidRPr="00562BF0">
        <w:rPr>
          <w:i/>
          <w:iCs/>
          <w:noProof/>
          <w:kern w:val="0"/>
          <w:sz w:val="20"/>
          <w:szCs w:val="24"/>
        </w:rPr>
        <w:t>38</w:t>
      </w:r>
      <w:r w:rsidRPr="00562BF0">
        <w:rPr>
          <w:noProof/>
          <w:kern w:val="0"/>
          <w:sz w:val="20"/>
          <w:szCs w:val="24"/>
        </w:rPr>
        <w:t>(1), 222.</w:t>
      </w:r>
    </w:p>
    <w:p w:rsidR="004073C1" w:rsidRDefault="004073C1" w:rsidP="00562BF0">
      <w:pPr>
        <w:autoSpaceDE w:val="0"/>
        <w:autoSpaceDN w:val="0"/>
        <w:adjustRightInd w:val="0"/>
        <w:ind w:left="480" w:hanging="480"/>
        <w:jc w:val="left"/>
        <w:rPr>
          <w:noProof/>
          <w:sz w:val="20"/>
        </w:rPr>
      </w:pPr>
    </w:p>
    <w:p w:rsidR="004073C1" w:rsidRPr="00562BF0" w:rsidRDefault="004073C1" w:rsidP="00562BF0">
      <w:pPr>
        <w:autoSpaceDE w:val="0"/>
        <w:autoSpaceDN w:val="0"/>
        <w:adjustRightInd w:val="0"/>
        <w:ind w:left="480" w:hanging="480"/>
        <w:jc w:val="left"/>
        <w:rPr>
          <w:noProof/>
          <w:sz w:val="20"/>
        </w:rPr>
      </w:pPr>
    </w:p>
    <w:p w:rsidR="004073C1" w:rsidRDefault="00562BF0" w:rsidP="00FD14A4">
      <w:pPr>
        <w:rPr>
          <w:noProof/>
        </w:rPr>
      </w:pPr>
      <w:r>
        <w:fldChar w:fldCharType="end"/>
      </w:r>
      <w:r w:rsidR="0089491B">
        <w:rPr>
          <w:rFonts w:hint="eastAsia"/>
          <w:noProof/>
        </w:rPr>
        <w:drawing>
          <wp:inline distT="0" distB="0" distL="0" distR="0">
            <wp:extent cx="5274310" cy="1163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163320"/>
                    </a:xfrm>
                    <a:prstGeom prst="rect">
                      <a:avLst/>
                    </a:prstGeom>
                  </pic:spPr>
                </pic:pic>
              </a:graphicData>
            </a:graphic>
          </wp:inline>
        </w:drawing>
      </w:r>
      <w:r w:rsidR="004073C1">
        <w:rPr>
          <w:rFonts w:hint="eastAsia"/>
          <w:noProof/>
        </w:rPr>
        <w:t xml:space="preserve"> </w:t>
      </w:r>
    </w:p>
    <w:p w:rsidR="004073C1" w:rsidRDefault="004073C1" w:rsidP="00FD14A4">
      <w:r w:rsidRPr="003F78D1">
        <w:rPr>
          <w:rFonts w:hint="eastAsia"/>
          <w:b/>
        </w:rPr>
        <w:t>F</w:t>
      </w:r>
      <w:r w:rsidRPr="003F78D1">
        <w:rPr>
          <w:b/>
        </w:rPr>
        <w:t>ig. 1.</w:t>
      </w:r>
      <w:r>
        <w:t xml:space="preserve"> </w:t>
      </w:r>
      <w:r w:rsidR="0089491B">
        <w:t>Drift</w:t>
      </w:r>
      <w:r w:rsidR="003A0253">
        <w:t>-</w:t>
      </w:r>
      <w:r w:rsidR="0089491B">
        <w:t>d</w:t>
      </w:r>
      <w:r>
        <w:t xml:space="preserve">iffusion </w:t>
      </w:r>
      <w:r w:rsidR="0089491B">
        <w:t>models</w:t>
      </w:r>
      <w:r>
        <w:t xml:space="preserve"> of perceptual and response switching. </w:t>
      </w:r>
      <w:r w:rsidR="0089491B">
        <w:t xml:space="preserve">A. </w:t>
      </w:r>
      <w:r w:rsidR="006E35E7">
        <w:t>O</w:t>
      </w:r>
      <w:r w:rsidR="0089491B">
        <w:t>nly t0 is allowed to vary across switch and repeat trials;</w:t>
      </w:r>
      <w:r w:rsidR="0089491B" w:rsidRPr="0089491B">
        <w:t xml:space="preserve"> </w:t>
      </w:r>
      <w:r w:rsidR="0089491B">
        <w:t xml:space="preserve">B. </w:t>
      </w:r>
      <w:r w:rsidR="00887B6C">
        <w:t>O</w:t>
      </w:r>
      <w:r w:rsidR="0089491B">
        <w:t>nly v is allowed to vary across switch and repeat trials; C. Both t0 and v are allowed to vary across switch and repeat trials.</w:t>
      </w:r>
      <w:r w:rsidR="0089491B">
        <w:rPr>
          <w:rFonts w:hint="eastAsia"/>
        </w:rPr>
        <w:t xml:space="preserve"> </w:t>
      </w:r>
      <w:r>
        <w:t>a: response criteria; z: starting point; t0: non-decision time; v: drift rate.</w:t>
      </w:r>
    </w:p>
    <w:p w:rsidR="0004127D" w:rsidRDefault="0004127D" w:rsidP="00FD14A4"/>
    <w:p w:rsidR="0004127D" w:rsidRDefault="003A0253" w:rsidP="00FD14A4">
      <w:r>
        <w:rPr>
          <w:noProof/>
        </w:rPr>
        <w:lastRenderedPageBreak/>
        <w:drawing>
          <wp:inline distT="0" distB="0" distL="0" distR="0">
            <wp:extent cx="5274310" cy="32054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RS_fig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205480"/>
                    </a:xfrm>
                    <a:prstGeom prst="rect">
                      <a:avLst/>
                    </a:prstGeom>
                  </pic:spPr>
                </pic:pic>
              </a:graphicData>
            </a:graphic>
          </wp:inline>
        </w:drawing>
      </w:r>
    </w:p>
    <w:p w:rsidR="0004127D" w:rsidRDefault="0004127D" w:rsidP="00FD14A4">
      <w:r w:rsidRPr="006C0EEC">
        <w:rPr>
          <w:rFonts w:hint="eastAsia"/>
          <w:b/>
        </w:rPr>
        <w:t>F</w:t>
      </w:r>
      <w:r w:rsidRPr="006C0EEC">
        <w:rPr>
          <w:b/>
        </w:rPr>
        <w:t>ig. 2.</w:t>
      </w:r>
      <w:r>
        <w:t xml:space="preserve"> Comparisons of model parameters and correlations between behavioral scores and activation of the </w:t>
      </w:r>
      <w:r w:rsidR="005F13C7">
        <w:t>frontoparietal network (FPN)</w:t>
      </w:r>
      <w:r>
        <w:t>. A. Comparisons of non-decision time</w:t>
      </w:r>
      <w:r w:rsidR="00C94FDA">
        <w:t xml:space="preserve"> (t0)</w:t>
      </w:r>
      <w:r>
        <w:t xml:space="preserve">: </w:t>
      </w:r>
      <w:r w:rsidR="00C94FDA">
        <w:t xml:space="preserve">the RS task showed a larger t0 difference (switch vs. repeat) compared </w:t>
      </w:r>
      <w:r w:rsidR="009508E0">
        <w:t>with</w:t>
      </w:r>
      <w:bookmarkStart w:id="0" w:name="_GoBack"/>
      <w:bookmarkEnd w:id="0"/>
      <w:r w:rsidR="00C94FDA">
        <w:t xml:space="preserve"> the PS task. B. Comparisons of drift rate (v): the PS task showed a larger v difference (switch vs. repeat) relative to the RS task. </w:t>
      </w:r>
      <w:r w:rsidR="008638DE">
        <w:t>C-D</w:t>
      </w:r>
      <w:r w:rsidR="00C94FDA">
        <w:t>. In both tasks, no significant correlations were found between activation</w:t>
      </w:r>
      <w:r w:rsidR="008638DE">
        <w:t xml:space="preserve"> of the FPN</w:t>
      </w:r>
      <w:r w:rsidR="00C94FDA">
        <w:t xml:space="preserve"> and RT switch cost</w:t>
      </w:r>
      <w:r w:rsidR="008638DE">
        <w:t>. E. In the RS task, activation of the FPN</w:t>
      </w:r>
      <w:r>
        <w:t xml:space="preserve"> </w:t>
      </w:r>
      <w:r w:rsidR="008638DE">
        <w:t>was correlated with t0 differences. F. In the PS task,</w:t>
      </w:r>
      <w:r w:rsidR="008638DE" w:rsidRPr="008638DE">
        <w:t xml:space="preserve"> </w:t>
      </w:r>
      <w:r w:rsidR="008638DE">
        <w:t xml:space="preserve">activation of the FPN was correlated with v differences. </w:t>
      </w:r>
      <w:r w:rsidR="00D925AC">
        <w:t>PS: perceptual switching; RS: response</w:t>
      </w:r>
      <w:r w:rsidR="00D25874" w:rsidRPr="00D25874">
        <w:t xml:space="preserve"> </w:t>
      </w:r>
      <w:r w:rsidR="00D25874">
        <w:t xml:space="preserve">switching; RT: reaction time; Error bar: standard error of the mean; </w:t>
      </w:r>
      <w:r w:rsidR="00D25874" w:rsidRPr="00D42454">
        <w:t>95% confidence interval is highlighted in light color;</w:t>
      </w:r>
      <w:r w:rsidR="00D25874">
        <w:t xml:space="preserve"> ns: not significant;</w:t>
      </w:r>
      <w:r w:rsidR="00D25874" w:rsidRPr="00D42454">
        <w:t xml:space="preserve"> </w:t>
      </w:r>
      <w:r w:rsidR="00D25874" w:rsidRPr="00D42454">
        <w:rPr>
          <w:vertAlign w:val="superscript"/>
        </w:rPr>
        <w:t>***</w:t>
      </w:r>
      <w:r w:rsidR="00D25874" w:rsidRPr="00D42454">
        <w:t xml:space="preserve"> </w:t>
      </w:r>
      <w:r w:rsidR="00D25874" w:rsidRPr="00D42454">
        <w:rPr>
          <w:i/>
        </w:rPr>
        <w:t>p</w:t>
      </w:r>
      <w:r w:rsidR="00D25874" w:rsidRPr="00D42454">
        <w:t xml:space="preserve"> &lt; 0.001.</w:t>
      </w:r>
    </w:p>
    <w:sectPr w:rsidR="000412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C3NDYytbSwMLQ0NzBR0lEKTi0uzszPAykwrgUAIIR4qiwAAAA="/>
  </w:docVars>
  <w:rsids>
    <w:rsidRoot w:val="004154F9"/>
    <w:rsid w:val="0004127D"/>
    <w:rsid w:val="00083B52"/>
    <w:rsid w:val="00093FAC"/>
    <w:rsid w:val="000C0E2F"/>
    <w:rsid w:val="000D1618"/>
    <w:rsid w:val="000E332F"/>
    <w:rsid w:val="000E4757"/>
    <w:rsid w:val="001022A3"/>
    <w:rsid w:val="00153CDE"/>
    <w:rsid w:val="00193D2D"/>
    <w:rsid w:val="001A0233"/>
    <w:rsid w:val="001C3256"/>
    <w:rsid w:val="001C4999"/>
    <w:rsid w:val="00236081"/>
    <w:rsid w:val="00256A21"/>
    <w:rsid w:val="002806AB"/>
    <w:rsid w:val="002A2DE9"/>
    <w:rsid w:val="002B7B52"/>
    <w:rsid w:val="002E691F"/>
    <w:rsid w:val="002F5DD8"/>
    <w:rsid w:val="00321C77"/>
    <w:rsid w:val="00326D01"/>
    <w:rsid w:val="00336369"/>
    <w:rsid w:val="003451A5"/>
    <w:rsid w:val="00366401"/>
    <w:rsid w:val="00391456"/>
    <w:rsid w:val="003A0253"/>
    <w:rsid w:val="003A5EF9"/>
    <w:rsid w:val="003F78D1"/>
    <w:rsid w:val="004073C1"/>
    <w:rsid w:val="004154F9"/>
    <w:rsid w:val="00422F1B"/>
    <w:rsid w:val="004307F7"/>
    <w:rsid w:val="00436BCD"/>
    <w:rsid w:val="004C20B2"/>
    <w:rsid w:val="005122FA"/>
    <w:rsid w:val="00535703"/>
    <w:rsid w:val="00562BF0"/>
    <w:rsid w:val="00573668"/>
    <w:rsid w:val="00581F4A"/>
    <w:rsid w:val="0059223A"/>
    <w:rsid w:val="005A1B44"/>
    <w:rsid w:val="005B5817"/>
    <w:rsid w:val="005F13C7"/>
    <w:rsid w:val="00626D2C"/>
    <w:rsid w:val="00633EA6"/>
    <w:rsid w:val="00636109"/>
    <w:rsid w:val="00636814"/>
    <w:rsid w:val="00662F38"/>
    <w:rsid w:val="006B1ABA"/>
    <w:rsid w:val="006C0EEC"/>
    <w:rsid w:val="006D6129"/>
    <w:rsid w:val="006E35E7"/>
    <w:rsid w:val="0072265A"/>
    <w:rsid w:val="0073186C"/>
    <w:rsid w:val="007A5420"/>
    <w:rsid w:val="007C1D29"/>
    <w:rsid w:val="008063F0"/>
    <w:rsid w:val="00816622"/>
    <w:rsid w:val="008638DE"/>
    <w:rsid w:val="00887B6C"/>
    <w:rsid w:val="0089491B"/>
    <w:rsid w:val="008A5AF8"/>
    <w:rsid w:val="00905B99"/>
    <w:rsid w:val="00935E30"/>
    <w:rsid w:val="009425E6"/>
    <w:rsid w:val="009508E0"/>
    <w:rsid w:val="00953773"/>
    <w:rsid w:val="009E62E2"/>
    <w:rsid w:val="009F5BE4"/>
    <w:rsid w:val="00A10396"/>
    <w:rsid w:val="00A12C03"/>
    <w:rsid w:val="00A67B54"/>
    <w:rsid w:val="00A8728A"/>
    <w:rsid w:val="00AB433E"/>
    <w:rsid w:val="00AD47DD"/>
    <w:rsid w:val="00B21179"/>
    <w:rsid w:val="00B25254"/>
    <w:rsid w:val="00B36187"/>
    <w:rsid w:val="00B52976"/>
    <w:rsid w:val="00B81E6B"/>
    <w:rsid w:val="00BC2D2B"/>
    <w:rsid w:val="00C00385"/>
    <w:rsid w:val="00C44B7C"/>
    <w:rsid w:val="00C75A9E"/>
    <w:rsid w:val="00C93458"/>
    <w:rsid w:val="00C94FDA"/>
    <w:rsid w:val="00CC57EB"/>
    <w:rsid w:val="00CD286E"/>
    <w:rsid w:val="00D224B5"/>
    <w:rsid w:val="00D25874"/>
    <w:rsid w:val="00D341E5"/>
    <w:rsid w:val="00D70327"/>
    <w:rsid w:val="00D70F96"/>
    <w:rsid w:val="00D769F0"/>
    <w:rsid w:val="00D925AC"/>
    <w:rsid w:val="00DC04A5"/>
    <w:rsid w:val="00E04576"/>
    <w:rsid w:val="00E54091"/>
    <w:rsid w:val="00E72C5A"/>
    <w:rsid w:val="00E968FC"/>
    <w:rsid w:val="00EB45E7"/>
    <w:rsid w:val="00EC1F99"/>
    <w:rsid w:val="00EF4A0A"/>
    <w:rsid w:val="00F42EAB"/>
    <w:rsid w:val="00F9129B"/>
    <w:rsid w:val="00F93F58"/>
    <w:rsid w:val="00FD14A4"/>
    <w:rsid w:val="00FE0FB2"/>
    <w:rsid w:val="00FE4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2A75"/>
  <w15:chartTrackingRefBased/>
  <w15:docId w15:val="{47FBADC9-07DA-4EAA-A370-9A925807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仿宋_GB2312" w:hAnsi="Times New Roman" w:cs="Times New Roman"/>
        <w:kern w:val="2"/>
        <w:sz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54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E7B3F-817E-4EF5-9052-2796EEFB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2246</Words>
  <Characters>12805</Characters>
  <Application>Microsoft Office Word</Application>
  <DocSecurity>0</DocSecurity>
  <Lines>106</Lines>
  <Paragraphs>30</Paragraphs>
  <ScaleCrop>false</ScaleCrop>
  <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HUANG</dc:creator>
  <cp:keywords/>
  <dc:description/>
  <cp:lastModifiedBy>ZIYI HUANG</cp:lastModifiedBy>
  <cp:revision>6</cp:revision>
  <dcterms:created xsi:type="dcterms:W3CDTF">2024-12-18T01:48:00Z</dcterms:created>
  <dcterms:modified xsi:type="dcterms:W3CDTF">2024-12-18T01:59:00Z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7cc31f85-479e-36e4-8cbb-b5ec875bb0a2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http://csl.mendeley.com/styles/522865291/apa-2</vt:lpwstr>
  </property>
  <property fmtid="{D5CDD505-2E9C-101B-9397-08002B2CF9AE}" pid="8" name="Mendeley Recent Style Name 1_1">
    <vt:lpwstr>American Psychological Association 6th edition - no doi - Ziyi Huang</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http://csl.mendeley.com/styles/522865291/chicago-author-date</vt:lpwstr>
  </property>
  <property fmtid="{D5CDD505-2E9C-101B-9397-08002B2CF9AE}" pid="14" name="Mendeley Recent Style Name 4_1">
    <vt:lpwstr>Chicago Manual of Style 17th edition (author-date) - 20211111</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http://www.zotero.org/styles/neuropsychopharmacology</vt:lpwstr>
  </property>
  <property fmtid="{D5CDD505-2E9C-101B-9397-08002B2CF9AE}" pid="22" name="Mendeley Recent Style Name 8_1">
    <vt:lpwstr>Neuropsychopharmacology</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ies>
</file>