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CP5046 Assessment 2 Individual Workbook</w:t>
      </w:r>
    </w:p>
    <w:p>
      <w:pPr>
        <w:jc w:val="center"/>
      </w:pPr>
      <w:r>
        <w:rPr>
          <w:b/>
          <w:color w:val="000000"/>
          <w:sz w:val="26"/>
        </w:rPr>
        <w:t>Mouse Dynamics Integrity Analysis Design Portfolio</w:t>
      </w:r>
    </w:p>
    <w:p/>
    <w:p>
      <w:pPr>
        <w:jc w:val="center"/>
      </w:pPr>
      <w:r>
        <w:t>Student: Ziyu</w:t>
      </w:r>
    </w:p>
    <w:p>
      <w:pPr>
        <w:jc w:val="center"/>
      </w:pPr>
      <w:r>
        <w:t>Subject: CP5046</w:t>
      </w:r>
    </w:p>
    <w:p>
      <w:pPr>
        <w:jc w:val="center"/>
      </w:pPr>
      <w:r>
        <w:t>Assessment component: Individual Design Workbook</w:t>
      </w:r>
    </w:p>
    <w:p/>
    <w:p>
      <w:pPr>
        <w:jc w:val="center"/>
      </w:pPr>
      <w:r>
        <w:rPr>
          <w:i/>
        </w:rPr>
        <w:t>This workbook documents my contribution to the design reasoning, evidence trail, and evaluation plan for a lightweight mouse-dynamics analysis prototype.</w:t>
      </w:r>
    </w:p>
    <w:p>
      <w:r>
        <w:br w:type="page"/>
      </w:r>
    </w:p>
    <w:p>
      <w:pPr>
        <w:pStyle w:val="Heading1"/>
      </w:pPr>
      <w:r>
        <w:t>Section 1 Personal Contributions to the Team Design Portfolio</w:t>
      </w:r>
    </w:p>
    <w:p>
      <w:pPr>
        <w:ind w:firstLine="283"/>
      </w:pPr>
      <w:r>
        <w:t>My contribution was to make the mouse-dynamics proposal reviewable before implementation. I translated the academic-integrity idea into a lightweight workflow that defines the data input, approved features, validation rules, and interpretation boundary. I treated the notebook, audit, and model-comparison output as design artefacts because each exposes an assumption a reviewer can challenge.</w:t>
      </w:r>
    </w:p>
    <w:p>
      <w:pPr>
        <w:pStyle w:val="Heading2"/>
      </w:pPr>
      <w:r>
        <w:t>Contribution 1 Data intake and traceability</w:t>
      </w:r>
    </w:p>
    <w:p>
      <w:pPr>
        <w:ind w:firstLine="283"/>
      </w:pPr>
      <w:r>
        <w:t>I defined the data-loading and audit requirements. The system lists mouse-segment CSV files before analysis, retains a source-file reference on each record, removes only the export index column, and stops clearly when a required field is unavailable. In the lightweight run, the loader recorded ten files and 2,002 raw segments. It showed observed labels rather than deriving or replacing them from filenames. This protects data provenance and keeps any source ambiguity visible.</w:t>
      </w:r>
    </w:p>
    <w:tbl>
      <w:tblPr>
        <w:tblStyle w:val="TableGrid"/>
        <w:tblW w:type="auto" w:w="0"/>
        <w:tblLayout w:type="fixed"/>
        <w:tblLook w:firstColumn="1" w:firstRow="1" w:lastColumn="0" w:lastRow="0" w:noHBand="0" w:noVBand="1" w:val="04A0"/>
      </w:tblPr>
      <w:tblGrid>
        <w:gridCol w:w="4816"/>
        <w:gridCol w:w="4816"/>
      </w:tblGrid>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User story name</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Traceable mouse-data intake</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Stub</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Audit the source files before analysis.</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User story</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As an assessment integrity analyst, I want to load the supplied mouse-dynamics files with their source-file information and existing labels preserved, so that the evidence behind the analysis can be checked.</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Acceptance criteria</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The file list, row count, required columns, observed labels, and duplicate count are displayed. Missing required fields produce an actionable error. No label is silently fabricated or overwritten.</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Story size</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M</w:t>
            </w:r>
          </w:p>
        </w:tc>
      </w:tr>
    </w:tbl>
    <w:p/>
    <w:p>
      <w:pPr>
        <w:pStyle w:val="Heading2"/>
      </w:pPr>
      <w:r>
        <w:t>Contribution 2 Lightweight feature scope and quality rules</w:t>
      </w:r>
    </w:p>
    <w:p>
      <w:pPr>
        <w:ind w:firstLine="283"/>
      </w:pPr>
      <w:r>
        <w:t>I proposed a small, interpretable feature boundary: `avg_d`, `avg_tv`, and `avg_a`. They represent movement distance, velocity-related behaviour, and acceleration. Restricting the prototype to these derived measures avoids raw coordinates or absolute timestamps, which may reflect screen layout or recording order. I specified numeric conversion, invalid-value detection, and a count of removed rows. In the executed lightweight notebook, all three features were present, numeric, and complete; no rows were removed.</w:t>
      </w:r>
    </w:p>
    <w:tbl>
      <w:tblPr>
        <w:tblStyle w:val="TableGrid"/>
        <w:tblW w:type="auto" w:w="0"/>
        <w:tblLayout w:type="fixed"/>
        <w:tblLook w:firstColumn="1" w:firstRow="1" w:lastColumn="0" w:lastRow="0" w:noHBand="0" w:noVBand="1" w:val="04A0"/>
      </w:tblPr>
      <w:tblGrid>
        <w:gridCol w:w="4816"/>
        <w:gridCol w:w="4816"/>
      </w:tblGrid>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User story name</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Three-feature validation</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Stub</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Create an interpretable modelling input.</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User story</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As a data analyst, I want the modelling matrix to contain exactly the approved distance, velocity-related, and acceleration features, so that the analysis remains lightweight and its scope can be justified.</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Acceptance criteria</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The input matrix has exactly three columns. Missing, non-numeric, and non-finite values are reported before training. The original source files remain unchanged.</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Story size</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M</w:t>
            </w:r>
          </w:p>
        </w:tc>
      </w:tr>
    </w:tbl>
    <w:p/>
    <w:p>
      <w:pPr>
        <w:pStyle w:val="Heading2"/>
      </w:pPr>
      <w:r>
        <w:t>Contribution 3 Transparent model comparison and communication</w:t>
      </w:r>
    </w:p>
    <w:p>
      <w:pPr>
        <w:ind w:firstLine="283"/>
      </w:pPr>
      <w:r>
        <w:t>I designed the comparison sequence so models answer the same question under the same conditions. One stratified 80/20 split is reused by a dummy baseline, an RBF Support Vector Classifier, and a Random Forest. The SVC is scaled inside a training-only pipeline; the Random Forest supplies a nonlinear contrast. Outputs include accuracy, macro precision, recall, F1, classification reports, and confusion matrices. Macro measures were chosen because observed label counts are unequal.</w:t>
      </w:r>
    </w:p>
    <w:tbl>
      <w:tblPr>
        <w:tblStyle w:val="TableGrid"/>
        <w:tblW w:type="auto" w:w="0"/>
        <w:tblLayout w:type="fixed"/>
        <w:tblLook w:firstColumn="1" w:firstRow="1" w:lastColumn="0" w:lastRow="0" w:noHBand="0" w:noVBand="1" w:val="04A0"/>
      </w:tblPr>
      <w:tblGrid>
        <w:gridCol w:w="4816"/>
        <w:gridCol w:w="4816"/>
      </w:tblGrid>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User story name</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Comparable model evaluation</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Stub</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Compare alternatives without changing the test conditions.</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User story</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As a project reviewer, I want to compare a baseline, an RBF SVC, and a Random Forest on one stratified test split, so that I can evaluate performance and limitations fairly.</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Acceptance criteria</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All candidate models use the same training and test rows. Macro metrics and confusion matrices are reported. The final narrative distinguishes exploratory classification from deployment-ready authentication.</w:t>
            </w:r>
          </w:p>
        </w:tc>
      </w:tr>
      <w:tr>
        <w:tc>
          <w:tcPr>
            <w:tcW w:type="dxa" w:w="2324"/>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Story size</w:t>
            </w:r>
          </w:p>
        </w:tc>
        <w:tc>
          <w:tcPr>
            <w:tcW w:type="dxa" w:w="691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M</w:t>
            </w:r>
          </w:p>
        </w:tc>
      </w:tr>
    </w:tbl>
    <w:p/>
    <w:p>
      <w:pPr>
        <w:pStyle w:val="Heading2"/>
      </w:pPr>
      <w:r>
        <w:t>Sprint Pilot Backlog</w:t>
      </w:r>
    </w:p>
    <w:tbl>
      <w:tblPr>
        <w:tblStyle w:val="TableGrid"/>
        <w:tblW w:type="auto" w:w="0"/>
        <w:tblLayout w:type="fixed"/>
        <w:tblLook w:firstColumn="1" w:firstRow="1" w:lastColumn="0" w:lastRow="0" w:noHBand="0" w:noVBand="1" w:val="04A0"/>
      </w:tblPr>
      <w:tblGrid>
        <w:gridCol w:w="2408"/>
        <w:gridCol w:w="2408"/>
        <w:gridCol w:w="2408"/>
        <w:gridCol w:w="2408"/>
      </w:tblGrid>
      <w:tr>
        <w:tc>
          <w:tcPr>
            <w:tcW w:type="dxa" w:w="56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ID</w:t>
            </w:r>
          </w:p>
        </w:tc>
        <w:tc>
          <w:tcPr>
            <w:tcW w:type="dxa" w:w="175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As a</w:t>
            </w:r>
          </w:p>
        </w:tc>
        <w:tc>
          <w:tcPr>
            <w:tcW w:type="dxa" w:w="35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I want to</w:t>
            </w:r>
          </w:p>
        </w:tc>
        <w:tc>
          <w:tcPr>
            <w:tcW w:type="dxa" w:w="3345"/>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1F4E78"/>
          </w:tcPr>
          <w:p>
            <w:pPr>
              <w:spacing w:after="0"/>
              <w:jc w:val="left"/>
            </w:pPr>
            <w:r/>
            <w:r>
              <w:rPr>
                <w:rFonts w:ascii="Aptos" w:hAnsi="Aptos"/>
                <w:b/>
                <w:color w:val="FFFFFF"/>
                <w:sz w:val="19"/>
              </w:rPr>
              <w:t>So that</w:t>
            </w:r>
          </w:p>
        </w:tc>
      </w:tr>
      <w:tr>
        <w:tc>
          <w:tcPr>
            <w:tcW w:type="dxa" w:w="56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1</w:t>
            </w:r>
          </w:p>
        </w:tc>
        <w:tc>
          <w:tcPr>
            <w:tcW w:type="dxa" w:w="175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assessment integrity analyst</w:t>
            </w:r>
          </w:p>
        </w:tc>
        <w:tc>
          <w:tcPr>
            <w:tcW w:type="dxa" w:w="35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load the supplied mouse-dynamics segments with traceable source-file information</w:t>
            </w:r>
          </w:p>
        </w:tc>
        <w:tc>
          <w:tcPr>
            <w:tcW w:type="dxa" w:w="3345"/>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the evidence used by later analysis can be checked</w:t>
            </w:r>
          </w:p>
        </w:tc>
      </w:tr>
      <w:tr>
        <w:tc>
          <w:tcPr>
            <w:tcW w:type="dxa" w:w="56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2</w:t>
            </w:r>
          </w:p>
        </w:tc>
        <w:tc>
          <w:tcPr>
            <w:tcW w:type="dxa" w:w="175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data analyst</w:t>
            </w:r>
          </w:p>
        </w:tc>
        <w:tc>
          <w:tcPr>
            <w:tcW w:type="dxa" w:w="35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validate exactly three approved features before fitting a model</w:t>
            </w:r>
          </w:p>
        </w:tc>
        <w:tc>
          <w:tcPr>
            <w:tcW w:type="dxa" w:w="3345"/>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the lightweight scope remains interpretable and reproducible</w:t>
            </w:r>
          </w:p>
        </w:tc>
      </w:tr>
      <w:tr>
        <w:tc>
          <w:tcPr>
            <w:tcW w:type="dxa" w:w="56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3</w:t>
            </w:r>
          </w:p>
        </w:tc>
        <w:tc>
          <w:tcPr>
            <w:tcW w:type="dxa" w:w="1757"/>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project reviewer</w:t>
            </w:r>
          </w:p>
        </w:tc>
        <w:tc>
          <w:tcPr>
            <w:tcW w:type="dxa" w:w="3572"/>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compare candidate models with macro metrics and confusion matrices</w:t>
            </w:r>
          </w:p>
        </w:tc>
        <w:tc>
          <w:tcPr>
            <w:tcW w:type="dxa" w:w="3345"/>
            <w:vAlign w:val="cente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pPr>
              <w:spacing w:after="0"/>
              <w:jc w:val="left"/>
            </w:pPr>
            <w:r/>
            <w:r>
              <w:rPr>
                <w:rFonts w:ascii="Aptos" w:hAnsi="Aptos"/>
                <w:b w:val="0"/>
                <w:sz w:val="19"/>
              </w:rPr>
              <w:t>I can judge both performance and limitations</w:t>
            </w:r>
          </w:p>
        </w:tc>
      </w:tr>
    </w:tbl>
    <w:p/>
    <w:p>
      <w:pPr>
        <w:pStyle w:val="Heading1"/>
      </w:pPr>
      <w:r>
        <w:t>Section 2 Rationale Behind Key Design Decisions</w:t>
      </w:r>
    </w:p>
    <w:p>
      <w:pPr>
        <w:ind w:firstLine="283"/>
      </w:pPr>
      <w:r>
        <w:t>The central design decision was to favour traceability and interpretability over a large feature set or a complex model. The project title concerns academic integrity, but the prototype cannot responsibly claim to detect fraud merely because it classifies movement segments. The design goal is narrower: test whether a compact distance-speed-acceleration representation contains useful information for the existing label task, then expose the strength and limitation of that evidence. This made the deliverables manageable within the sprint while keeping the reasoning visible to the team.</w:t>
      </w:r>
    </w:p>
    <w:p>
      <w:pPr>
        <w:ind w:firstLine="283"/>
      </w:pPr>
      <w:r>
        <w:t>The three-feature choice was also a trade-off. A richer model could use raw positions, timestamps, horizontal and vertical components, jerk, and multiple derived summaries. However, raw positions can encode screen geometry, while timestamps can encode collection order. Those variables may improve a score without improving behavioural generalisation. I therefore selected the three averaged movement features as an interpretable candidate pool. The separate wrapper-feature-selection design was useful as a methodological reference because it compares all non-empty subsets inside a controlled selection procedure. For the lightweight version, I retained all three features as the pre-specified scope rather than using the test results to keep or discard them.</w:t>
      </w:r>
    </w:p>
    <w:p>
      <w:pPr>
        <w:ind w:firstLine="283"/>
      </w:pPr>
      <w:r>
        <w:t>I selected a model comparison rather than one preferred algorithm. The dummy classifier establishes the minimum result obtained by always predicting the most common observed label. The RBF SVC tests whether a scaled nonlinear boundary can distinguish groups in the three-dimensional feature space. The Random Forest tests a different nonlinear structure and does not depend on feature scaling. Each model is evaluated against the same held-out rows. This avoids a misleading comparison where each algorithm receives a more favourable split. The use of macro F1 as the main comparison measure is important because it gives every observed label equal influence, whereas accuracy alone can conceal poor performance for smaller groups.</w:t>
      </w:r>
    </w:p>
    <w:p>
      <w:pPr>
        <w:ind w:firstLine="283"/>
      </w:pPr>
      <w:r>
        <w:t>The executed lightweight result supported a cautious decision. Random Forest was the strongest candidate on the fixed split, with accuracy of 0.272 and macro F1 of 0.241. RBF SVC achieved accuracy of 0.200 and macro F1 of 0.153, while the dummy baseline achieved accuracy of 0.182 and macro F1 of 0.034. The Random Forest improvement shows that the three movement summaries contain some discriminative signal, but its absolute performance remains low. The design therefore communicates the model as an exploratory evidence artefact, not as a security control. The more elaborate wrapper notebook and its synthetic-data execution were used to check the proposed workflow, not to substitute synthetic metrics for real-course-data results.</w:t>
      </w:r>
    </w:p>
    <w:p>
      <w:pPr>
        <w:pStyle w:val="Heading1"/>
      </w:pPr>
      <w:r>
        <w:t>Section 3 Reflection on Feedback Iteration Constraints and Trade offs</w:t>
      </w:r>
    </w:p>
    <w:p>
      <w:pPr>
        <w:ind w:firstLine="283"/>
      </w:pPr>
      <w:r>
        <w:t>The main feedback in this sprint came from executing the data audit and reading the model outputs rather than from assumptions made before the run. The audit confirmed that the selected features existed and required no cleaning in the supplied files. It also revealed that the loaded dataset contained nine observed label values, with the records from one file carrying an existing label that matched another file. I did not rewrite that value from the filename. Preserving the source label was the more defensible design choice because the aim of the lightweight prototype is to describe the data as supplied. Consequently, I will describe the outcome as classification of observed labels rather than assert that the experiment identified ten distinct users.</w:t>
      </w:r>
    </w:p>
    <w:p>
      <w:pPr>
        <w:ind w:firstLine="283"/>
      </w:pPr>
      <w:r>
        <w:t>The model results also changed how I interpret the initial idea. Before evaluation, it was plausible that distance, velocity, and acceleration might separate users strongly enough to support a useful behavioural-biometric prototype. The Random Forest result was better than both the SVC and the baseline, but macro F1 of 0.241 is not strong enough to support a reliability claim. The confusion matrices and low per-class scores make the limitation concrete: the feature set provides partial separation, not dependable identification. This outcome is valuable because it prevents the design portfolio from treating a technical-looking pipeline as evidence of an effective fraud-detection product.</w:t>
      </w:r>
    </w:p>
    <w:p>
      <w:pPr>
        <w:ind w:firstLine="283"/>
      </w:pPr>
      <w:r>
        <w:t>A further constraint is the evaluation protocol. The current notebook uses a single random split of short movement segments. The supplied data structure indicates that neighbouring segments may come from the same continuous recording, so a segment-level split can be more optimistic than a future-session evaluation. I recorded this as a limitation rather than pretending that the current score transfers to unseen devices, assessment tasks, or recording sessions. The lightweight scope also omits calibration, threshold design, and the explicit false-accept/false-reject analysis required for a real authentication system. Those omissions are appropriate for the current design prototype, but they set a clear boundary on the claims that can be made.</w:t>
      </w:r>
    </w:p>
    <w:p>
      <w:pPr>
        <w:ind w:firstLine="283"/>
      </w:pPr>
      <w:r>
        <w:t>My next iteration would keep the provenance checks and three-feature explanation, then strengthen the validation evidence. I would first confirm the meaning of the existing labels with the data owner rather than infer it from filenames. If recording or session identifiers become available, I would add group-based validation so related segments do not cross the training-test boundary. I would then use nested cross-validation for any wrapper feature-selection or hyperparameter-search extension, leaving a final test portion untouched. Finally, I would update the team portfolio with the observed limitations, the model-comparison table, and a short explanation of why an improvement over a dummy baseline is not the same as readiness for academic-integrity deployment.</w:t>
      </w:r>
    </w:p>
    <w:p>
      <w:pPr>
        <w:pStyle w:val="Heading1"/>
      </w:pPr>
      <w:r>
        <w:t>Evidence basis</w:t>
      </w:r>
    </w:p>
    <w:p>
      <w:pPr>
        <w:ind w:firstLine="283"/>
      </w:pPr>
      <w:r>
        <w:t>This workbook draws on the lightweight real-data run and the wrapper-methodology artefacts. Synthetic-run metrics are not used as course-data results.</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CP5046 Assessment 2 Individual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CP5046 Assessment 2 Individual Workbook</dc:title>
  <dc:subject>Mouse Dynamics Integrity Analysis Design Portfolio</dc:subject>
  <dc:creator>Ziyu</dc:creator>
  <cp:keywords/>
  <dc:description>Approximate document word count including table text: 1524</dc:description>
  <cp:lastModifiedBy/>
  <cp:revision>1</cp:revision>
  <dcterms:created xsi:type="dcterms:W3CDTF">2013-12-23T23:15:00Z</dcterms:created>
  <dcterms:modified xsi:type="dcterms:W3CDTF">2013-12-23T23:15:00Z</dcterms:modified>
  <cp:category/>
</cp:coreProperties>
</file>