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60" w:after="40" w:line="240" w:lineRule="auto"/>
      </w:pPr>
      <w:r>
        <w:rPr>
          <w:rFonts w:ascii="STHeiti" w:hAnsi="STHeiti" w:eastAsia="STHeiti" w:hint="eastAsia"/>
          <w:b/>
          <w:i w:val="0"/>
          <w:color w:val="2E74B5"/>
          <w:sz w:val="20"/>
          <w:lang w:val="zh-CN" w:eastAsia="zh-CN"/>
        </w:rPr>
        <w:t>FINAL TEAM PLAN</w:t>
      </w:r>
    </w:p>
    <w:p>
      <w:pPr>
        <w:keepNext/>
        <w:spacing w:before="0" w:after="80" w:line="240" w:lineRule="auto"/>
      </w:pPr>
      <w:r>
        <w:rPr>
          <w:rFonts w:ascii="STHeiti" w:hAnsi="STHeiti" w:eastAsia="STHeiti" w:hint="eastAsia"/>
          <w:b/>
          <w:i w:val="0"/>
          <w:color w:val="0B2545"/>
          <w:sz w:val="48"/>
          <w:lang w:val="zh-CN" w:eastAsia="zh-CN"/>
        </w:rPr>
        <w:t>电影类型分类研究项目：五人最终分工</w:t>
      </w:r>
    </w:p>
    <w:p>
      <w:pPr>
        <w:keepNext w:val="0"/>
        <w:spacing w:before="0" w:after="80" w:line="276" w:lineRule="auto"/>
      </w:pPr>
      <w:r>
        <w:rPr>
          <w:rFonts w:ascii="STHeiti" w:hAnsi="STHeiti" w:eastAsia="STHeiti" w:hint="eastAsia"/>
          <w:b w:val="0"/>
          <w:i/>
          <w:color w:val="667085"/>
          <w:sz w:val="23"/>
          <w:lang w:val="zh-CN" w:eastAsia="zh-CN"/>
        </w:rPr>
        <w:t>Keywords or Semantics? What Do Movie Genre Classifiers Learn from Plot Summaries?</w:t>
      </w:r>
    </w:p>
    <w:p>
      <w:pPr>
        <w:keepNext w:val="0"/>
        <w:spacing w:before="0" w:after="240" w:line="240" w:lineRule="auto"/>
      </w:pPr>
      <w:r>
        <w:rPr>
          <w:rFonts w:ascii="STHeiti" w:hAnsi="STHeiti" w:eastAsia="STHeiti" w:hint="eastAsia"/>
          <w:b w:val="0"/>
          <w:i w:val="0"/>
          <w:color w:val="667085"/>
          <w:sz w:val="19"/>
          <w:lang w:val="zh-CN" w:eastAsia="zh-CN"/>
        </w:rPr>
        <w:t>版本：最终执行稿  ·  日期：2026年8月17日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FC9E2"/>
          <w:left w:val="single" w:sz="8" w:color="AFC9E2"/>
          <w:bottom w:val="single" w:sz="8" w:color="AFC9E2"/>
          <w:right w:val="single" w:sz="8" w:color="AFC9E2"/>
          <w:insideH w:val="single" w:sz="8" w:color="AFC9E2"/>
          <w:insideV w:val="single" w:sz="8" w:color="AFC9E2"/>
        </w:tblBorders>
      </w:tblPr>
      <w:tblGrid>
        <w:gridCol w:w="9792"/>
      </w:tblGrid>
      <w:tr>
        <w:tc>
          <w:tcPr>
            <w:tcW w:type="dxa" w:w="9792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/>
                <w:i w:val="0"/>
                <w:color w:val="0B2545"/>
                <w:sz w:val="21"/>
                <w:lang w:val="zh-CN" w:eastAsia="zh-CN"/>
              </w:rPr>
              <w:t>最终安排：4号负责输入扰动实验并兼任PPT总负责人；5号负责统一评估统计并兼任Q&amp;A负责人。五条技术工作线从第一天同步启动。</w:t>
            </w:r>
          </w:p>
        </w:tc>
      </w:tr>
    </w:tbl>
    <w:p>
      <w:pPr>
        <w:pStyle w:val="Heading1"/>
        <w:keepNext/>
      </w:pPr>
      <w:r>
        <w:t>一、项目目标与统一研究问题</w:t>
      </w:r>
    </w:p>
    <w:p>
      <w:pPr>
        <w:keepNext w:val="0"/>
        <w:spacing w:before="0" w:after="100" w:line="300" w:lineRule="auto"/>
      </w:pPr>
      <w:r>
        <w:rPr>
          <w:rFonts w:ascii="STHeiti" w:hAnsi="STHeiti" w:eastAsia="STHeiti" w:hint="eastAsia"/>
          <w:b/>
          <w:i w:val="0"/>
          <w:color w:val="1F4D78"/>
          <w:sz w:val="22"/>
          <w:lang w:val="zh-CN" w:eastAsia="zh-CN"/>
        </w:rPr>
        <w:t>研究问题：</w:t>
      </w: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电影类型分类模型主要依赖局部关键词、词序信息，还是更完整的剧情语义？</w:t>
      </w:r>
    </w:p>
    <w:p>
      <w:pPr>
        <w:keepNext w:val="0"/>
        <w:spacing w:before="0" w:after="100" w:line="300" w:lineRule="auto"/>
      </w:pPr>
      <w:r>
        <w:rPr>
          <w:rFonts w:ascii="STHeiti" w:hAnsi="STHeiti" w:eastAsia="STHeiti" w:hint="eastAsia"/>
          <w:b/>
          <w:i w:val="0"/>
          <w:color w:val="1F4D78"/>
          <w:sz w:val="22"/>
          <w:lang w:val="zh-CN" w:eastAsia="zh-CN"/>
        </w:rPr>
        <w:t>核心对照：</w:t>
      </w: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TF-IDF＋Logistic Regression（词汇表示）与 Sentence-BERT＋Logistic Regression（语义表示）。</w:t>
      </w:r>
    </w:p>
    <w:p>
      <w:pPr>
        <w:keepNext w:val="0"/>
        <w:spacing w:before="0" w:after="100" w:line="300" w:lineRule="auto"/>
      </w:pPr>
      <w:r>
        <w:rPr>
          <w:rFonts w:ascii="STHeiti" w:hAnsi="STHeiti" w:eastAsia="STHeiti" w:hint="eastAsia"/>
          <w:b/>
          <w:i w:val="0"/>
          <w:color w:val="1F4D78"/>
          <w:sz w:val="22"/>
          <w:lang w:val="zh-CN" w:eastAsia="zh-CN"/>
        </w:rPr>
        <w:t>控制实验：</w:t>
      </w: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词序打乱、关键词遮蔽，以及仅保留剧情前25%、50%、75%的文本截断实验。</w:t>
      </w:r>
    </w:p>
    <w:p>
      <w:pPr>
        <w:keepNext w:val="0"/>
        <w:spacing w:before="0" w:after="100" w:line="300" w:lineRule="auto"/>
      </w:pPr>
      <w:r>
        <w:rPr>
          <w:rFonts w:ascii="STHeiti" w:hAnsi="STHeiti" w:eastAsia="STHeiti" w:hint="eastAsia"/>
          <w:b/>
          <w:i w:val="0"/>
          <w:color w:val="1F4D78"/>
          <w:sz w:val="22"/>
          <w:lang w:val="zh-CN" w:eastAsia="zh-CN"/>
        </w:rPr>
        <w:t>统一指标：</w:t>
      </w: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Macro-F1、Micro-F1、每类F1，以及各类输入扰动造成的性能下降。</w:t>
      </w:r>
    </w:p>
    <w:p>
      <w:pPr>
        <w:pStyle w:val="Heading1"/>
        <w:keepNext/>
      </w:pPr>
      <w:r>
        <w:t>二、五人最终职责总表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620"/>
        <w:gridCol w:w="1420"/>
        <w:gridCol w:w="3150"/>
        <w:gridCol w:w="2600"/>
        <w:gridCol w:w="2002"/>
      </w:tblGrid>
      <w:tr>
        <w:trPr>
          <w:tblHeader w:val="true"/>
        </w:trPr>
        <w:tc>
          <w:tcPr>
            <w:tcW w:type="dxa" w:w="62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/>
                <w:i w:val="0"/>
                <w:color w:val="0B2545"/>
                <w:sz w:val="17"/>
                <w:lang w:val="zh-CN" w:eastAsia="zh-CN"/>
              </w:rPr>
              <w:t>成员</w:t>
            </w:r>
          </w:p>
        </w:tc>
        <w:tc>
          <w:tcPr>
            <w:tcW w:type="dxa" w:w="142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/>
                <w:i w:val="0"/>
                <w:color w:val="0B2545"/>
                <w:sz w:val="17"/>
                <w:lang w:val="zh-CN" w:eastAsia="zh-CN"/>
              </w:rPr>
              <w:t>主责任</w:t>
            </w:r>
          </w:p>
        </w:tc>
        <w:tc>
          <w:tcPr>
            <w:tcW w:type="dxa" w:w="315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/>
                <w:i w:val="0"/>
                <w:color w:val="0B2545"/>
                <w:sz w:val="17"/>
                <w:lang w:val="zh-CN" w:eastAsia="zh-CN"/>
              </w:rPr>
              <w:t>技术任务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/>
                <w:i w:val="0"/>
                <w:color w:val="0B2545"/>
                <w:sz w:val="17"/>
                <w:lang w:val="zh-CN" w:eastAsia="zh-CN"/>
              </w:rPr>
              <w:t>后期任务</w:t>
            </w:r>
          </w:p>
        </w:tc>
        <w:tc>
          <w:tcPr>
            <w:tcW w:type="dxa" w:w="2002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/>
                <w:i w:val="0"/>
                <w:color w:val="0B2545"/>
                <w:sz w:val="17"/>
                <w:lang w:val="zh-CN" w:eastAsia="zh-CN"/>
              </w:rPr>
              <w:t>关键交付</w:t>
            </w:r>
          </w:p>
        </w:tc>
      </w:tr>
      <w:tr>
        <w:tc>
          <w:tcPr>
            <w:tcW w:type="dxa" w:w="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1号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数据质量与实验划分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正确解析多标签；删除空标签、无剧情与重复冲突样本；排除无训练样本的Documentary；固定train/validation/test；完成EDA。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进度协调；负责数据清洗、数据泄漏与划分相关答疑。</w:t>
            </w:r>
          </w:p>
        </w:tc>
        <w:tc>
          <w:tcPr>
            <w:tcW w:type="dxa" w:w="20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prepare_data.py、splits.csv、data_quality.md、EDA图。</w:t>
            </w:r>
          </w:p>
        </w:tc>
      </w:tr>
      <w:tr>
        <w:tc>
          <w:tcPr>
            <w:tcW w:type="dxa" w:w="62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2号</w:t>
            </w:r>
          </w:p>
        </w:tc>
        <w:tc>
          <w:tcPr>
            <w:tcW w:type="dxa" w:w="142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TF-IDF关键词模型</w:t>
            </w:r>
          </w:p>
        </w:tc>
        <w:tc>
          <w:tcPr>
            <w:tcW w:type="dxa" w:w="3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训练One-vs-Rest TF-IDF＋LR；比较unigram/bigram；调阈值；提取各genre高权重关键词；完成错误案例分析。</w:t>
            </w:r>
          </w:p>
        </w:tc>
        <w:tc>
          <w:tcPr>
            <w:tcW w:type="dxa" w:w="26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负责PPT中的词汇模型内容；回答TF-IDF、关键词与模型选择问题。</w:t>
            </w:r>
          </w:p>
        </w:tc>
        <w:tc>
          <w:tcPr>
            <w:tcW w:type="dxa" w:w="2002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train_tfidf.py、tfidf预测、top_keywords.csv、关键词图。</w:t>
            </w:r>
          </w:p>
        </w:tc>
      </w:tr>
      <w:tr>
        <w:tc>
          <w:tcPr>
            <w:tcW w:type="dxa" w:w="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3号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Sentence-BERT语义模型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使用all-MiniLM-L6-v2生成embeddings；训练One-vs-Rest分类器；调阈值；完成语义案例分析。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负责PPT中的语义模型内容；回答embedding、Sentence-BERT与模型差异问题。</w:t>
            </w:r>
          </w:p>
        </w:tc>
        <w:tc>
          <w:tcPr>
            <w:tcW w:type="dxa" w:w="20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train_sbert.py、embeddings、sbert预测、语义模型图。</w:t>
            </w:r>
          </w:p>
        </w:tc>
      </w:tr>
      <w:tr>
        <w:tc>
          <w:tcPr>
            <w:tcW w:type="dxa" w:w="62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4号</w:t>
            </w:r>
          </w:p>
        </w:tc>
        <w:tc>
          <w:tcPr>
            <w:tcW w:type="dxa" w:w="142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输入扰动＋PPT总负责</w:t>
            </w:r>
          </w:p>
        </w:tc>
        <w:tc>
          <w:tcPr>
            <w:tcW w:type="dxa" w:w="3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实现shuffle_words、mask_keywords、truncate_text；生成六类测试版本；检查扰动可复现性与文本质量。</w:t>
            </w:r>
          </w:p>
        </w:tc>
        <w:tc>
          <w:tcPr>
            <w:tcW w:type="dxa" w:w="26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建立PPT模板、整合全组slides、统一图表风格与讲稿、控制时长并组织两次彩排。</w:t>
            </w:r>
          </w:p>
        </w:tc>
        <w:tc>
          <w:tcPr>
            <w:tcW w:type="dxa" w:w="2002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perturbations.py、test_variants、扰动示例、最终PPT。</w:t>
            </w:r>
          </w:p>
        </w:tc>
      </w:tr>
      <w:tr>
        <w:tc>
          <w:tcPr>
            <w:tcW w:type="dxa" w:w="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5号</w:t>
            </w:r>
          </w:p>
        </w:tc>
        <w:tc>
          <w:tcPr>
            <w:tcW w:type="dxa" w:w="1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评估统计＋Q&amp;A负责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建立统一评估脚本；计算Macro/Micro-F1、per-genre F1、性能下降与置信区间；生成最终图表。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建立Q&amp;A题库、分配回答者、组织模拟问答、准备backup slides并负责现场问题路由。</w:t>
            </w:r>
          </w:p>
        </w:tc>
        <w:tc>
          <w:tcPr>
            <w:tcW w:type="dxa" w:w="20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7"/>
                <w:lang w:val="zh-CN" w:eastAsia="zh-CN"/>
              </w:rPr>
              <w:t>evaluate.py、visualize.py、summary.csv、结果图、Q&amp;A文档。</w:t>
            </w:r>
          </w:p>
        </w:tc>
      </w:tr>
    </w:tbl>
    <w:p>
      <w:pPr>
        <w:pStyle w:val="Heading1"/>
        <w:keepNext/>
      </w:pPr>
      <w:r>
        <w:t>三、各成员验收标准</w:t>
      </w:r>
    </w:p>
    <w:p>
      <w:pPr>
        <w:pStyle w:val="Heading2"/>
        <w:keepNext/>
      </w:pPr>
      <w:r>
        <w:t>1号｜数据质量与实验划分</w:t>
      </w:r>
    </w:p>
    <w:p>
      <w:pPr>
        <w:pStyle w:val="ListBullet"/>
        <w:spacing w:after="40" w:line="283" w:lineRule="auto"/>
        <w:ind w:left="540" w:hanging="271"/>
      </w:pP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使用 ast.literal_eval 正确解析 genre_ids，不允许按空格直接拆分列表字符串。</w:t>
      </w:r>
    </w:p>
    <w:p>
      <w:pPr>
        <w:pStyle w:val="ListBullet"/>
        <w:spacing w:after="40" w:line="283" w:lineRule="auto"/>
        <w:ind w:left="540" w:hanging="271"/>
      </w:pP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清理后主实验约保留7,990条记录，并使用实际存在的18个类型。</w:t>
      </w:r>
    </w:p>
    <w:p>
      <w:pPr>
        <w:pStyle w:val="ListBullet"/>
        <w:spacing w:after="40" w:line="283" w:lineRule="auto"/>
        <w:ind w:left="540" w:hanging="271"/>
      </w:pP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在Day 1结束前提交固定的 splits.csv；全组不得自行重新划分。</w:t>
      </w:r>
    </w:p>
    <w:p>
      <w:pPr>
        <w:pStyle w:val="ListBullet"/>
        <w:spacing w:after="40" w:line="283" w:lineRule="auto"/>
        <w:ind w:left="540" w:hanging="271"/>
      </w:pP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所有数据处理均保留 overview_raw，并另建 overview_clean。</w:t>
      </w:r>
    </w:p>
    <w:p>
      <w:pPr>
        <w:pStyle w:val="Heading2"/>
        <w:keepNext/>
      </w:pPr>
      <w:r>
        <w:t>2号｜TF-IDF关键词模型</w:t>
      </w:r>
    </w:p>
    <w:p>
      <w:pPr>
        <w:pStyle w:val="ListBullet"/>
        <w:spacing w:after="40" w:line="283" w:lineRule="auto"/>
        <w:ind w:left="540" w:hanging="271"/>
      </w:pP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提交original、shuffled、masked、first_25、first_50、first_75六种输入下的统一预测文件。</w:t>
      </w:r>
    </w:p>
    <w:p>
      <w:pPr>
        <w:pStyle w:val="ListBullet"/>
        <w:spacing w:after="40" w:line="283" w:lineRule="auto"/>
        <w:ind w:left="540" w:hanging="271"/>
      </w:pP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提交每个genre的top keywords，并说明关键词来自训练集，避免测试信息泄漏。</w:t>
      </w:r>
    </w:p>
    <w:p>
      <w:pPr>
        <w:pStyle w:val="ListBullet"/>
        <w:spacing w:after="40" w:line="283" w:lineRule="auto"/>
        <w:ind w:left="540" w:hanging="271"/>
      </w:pP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至少准备两个成功案例和两个失败案例用于展示。</w:t>
      </w:r>
    </w:p>
    <w:p>
      <w:pPr>
        <w:pStyle w:val="Heading2"/>
        <w:keepNext/>
      </w:pPr>
      <w:r>
        <w:t>3号｜Sentence-BERT语义模型</w:t>
      </w:r>
    </w:p>
    <w:p>
      <w:pPr>
        <w:pStyle w:val="ListBullet"/>
        <w:spacing w:after="40" w:line="283" w:lineRule="auto"/>
        <w:ind w:left="540" w:hanging="271"/>
      </w:pP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保存embeddings以避免重复计算，并记录模型版本、超参数和random seed。</w:t>
      </w:r>
    </w:p>
    <w:p>
      <w:pPr>
        <w:pStyle w:val="ListBullet"/>
        <w:spacing w:after="40" w:line="283" w:lineRule="auto"/>
        <w:ind w:left="540" w:hanging="271"/>
      </w:pP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输出格式必须与TF-IDF模型一致，确保5号可直接汇总。</w:t>
      </w:r>
    </w:p>
    <w:p>
      <w:pPr>
        <w:pStyle w:val="ListBullet"/>
        <w:spacing w:after="40" w:line="283" w:lineRule="auto"/>
        <w:ind w:left="540" w:hanging="271"/>
      </w:pP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至少准备两个语义表达有效或失效的案例。</w:t>
      </w:r>
    </w:p>
    <w:p>
      <w:pPr>
        <w:pStyle w:val="Heading2"/>
        <w:keepNext/>
      </w:pPr>
      <w:r>
        <w:t>4号｜输入扰动与PPT</w:t>
      </w:r>
    </w:p>
    <w:p>
      <w:pPr>
        <w:pStyle w:val="ListBullet"/>
        <w:spacing w:after="40" w:line="283" w:lineRule="auto"/>
        <w:ind w:left="540" w:hanging="271"/>
      </w:pP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打乱前后词数一致；相同seed结果可复现；截断比例正确；遮蔽后不能产生空文本。</w:t>
      </w:r>
    </w:p>
    <w:p>
      <w:pPr>
        <w:pStyle w:val="ListBullet"/>
        <w:spacing w:after="40" w:line="283" w:lineRule="auto"/>
        <w:ind w:left="540" w:hanging="271"/>
      </w:pP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Day 1建立共享PPT模板与页面结构；Day 6收齐素材；Day 7完成第一版整合。</w:t>
      </w:r>
    </w:p>
    <w:p>
      <w:pPr>
        <w:pStyle w:val="ListBullet"/>
        <w:spacing w:after="40" w:line="283" w:lineRule="auto"/>
        <w:ind w:left="540" w:hanging="271"/>
      </w:pP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PPT统一字体、颜色、小数位、图表标题和一句话takeaway；维护唯一final版本。</w:t>
      </w:r>
    </w:p>
    <w:p>
      <w:pPr>
        <w:pStyle w:val="Heading2"/>
        <w:keepNext/>
      </w:pPr>
      <w:r>
        <w:t>5号｜评估统计与Q&amp;A</w:t>
      </w:r>
    </w:p>
    <w:p>
      <w:pPr>
        <w:pStyle w:val="ListBullet"/>
        <w:spacing w:after="40" w:line="283" w:lineRule="auto"/>
        <w:ind w:left="540" w:hanging="271"/>
      </w:pP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使用dummy predictions提前完成评估与绘图函数，不等待模型预测。</w:t>
      </w:r>
    </w:p>
    <w:p>
      <w:pPr>
        <w:pStyle w:val="ListBullet"/>
        <w:spacing w:after="40" w:line="283" w:lineRule="auto"/>
        <w:ind w:left="540" w:hanging="271"/>
      </w:pP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最终结果至少包含整体对比、扰动下降、文本长度曲线和per-genre热力图。</w:t>
      </w:r>
    </w:p>
    <w:p>
      <w:pPr>
        <w:pStyle w:val="ListBullet"/>
        <w:spacing w:after="40" w:line="283" w:lineRule="auto"/>
        <w:ind w:left="540" w:hanging="271"/>
      </w:pP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Q&amp;A题库覆盖数据、TF-IDF、Sentence-BERT、扰动设计、指标、局限与泛化。</w:t>
      </w:r>
    </w:p>
    <w:p>
      <w:pPr>
        <w:pStyle w:val="Heading1"/>
        <w:keepNext/>
      </w:pPr>
      <w:r>
        <w:t>四、并行执行时间表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100"/>
        <w:gridCol w:w="1400"/>
        <w:gridCol w:w="5592"/>
        <w:gridCol w:w="1700"/>
      </w:tblGrid>
      <w:tr>
        <w:trPr>
          <w:tblHeader w:val="true"/>
        </w:trP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/>
                <w:i w:val="0"/>
                <w:color w:val="0B2545"/>
                <w:sz w:val="19"/>
                <w:lang w:val="zh-CN" w:eastAsia="zh-CN"/>
              </w:rPr>
              <w:t>时间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/>
                <w:i w:val="0"/>
                <w:color w:val="0B2545"/>
                <w:sz w:val="19"/>
                <w:lang w:val="zh-CN" w:eastAsia="zh-CN"/>
              </w:rPr>
              <w:t>阶段</w:t>
            </w:r>
          </w:p>
        </w:tc>
        <w:tc>
          <w:tcPr>
            <w:tcW w:type="dxa" w:w="5592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/>
                <w:i w:val="0"/>
                <w:color w:val="0B2545"/>
                <w:sz w:val="19"/>
                <w:lang w:val="zh-CN" w:eastAsia="zh-CN"/>
              </w:rPr>
              <w:t>主要工作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/>
                <w:i w:val="0"/>
                <w:color w:val="0B2545"/>
                <w:sz w:val="19"/>
                <w:lang w:val="zh-CN" w:eastAsia="zh-CN"/>
              </w:rPr>
              <w:t>协作方式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Day 0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统一接口</w:t>
            </w:r>
          </w:p>
        </w:tc>
        <w:tc>
          <w:tcPr>
            <w:tcW w:type="dxa" w:w="5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共同确定目录、splits格式、预测格式、指标与Git分支。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全组</w:t>
            </w:r>
          </w:p>
        </w:tc>
      </w:tr>
      <w:tr>
        <w:tc>
          <w:tcPr>
            <w:tcW w:type="dxa" w:w="11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Day 1–3</w:t>
            </w:r>
          </w:p>
        </w:tc>
        <w:tc>
          <w:tcPr>
            <w:tcW w:type="dxa" w:w="14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独立开发</w:t>
            </w:r>
          </w:p>
        </w:tc>
        <w:tc>
          <w:tcPr>
            <w:tcW w:type="dxa" w:w="5592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1号清洗/EDA；2号TF-IDF；3号SBERT；4号扰动/PPT模板；5号评估/绘图模板。</w:t>
            </w:r>
          </w:p>
        </w:tc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五人完全并行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Day 4–5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统一运行</w:t>
            </w:r>
          </w:p>
        </w:tc>
        <w:tc>
          <w:tcPr>
            <w:tcW w:type="dxa" w:w="5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2号与3号在六类输入上并行推理；4号做扰动质检；5号边接收边汇总；1号检查数据公平性。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五人基本并行</w:t>
            </w:r>
          </w:p>
        </w:tc>
      </w:tr>
      <w:tr>
        <w:tc>
          <w:tcPr>
            <w:tcW w:type="dxa" w:w="11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Day 6–7</w:t>
            </w:r>
          </w:p>
        </w:tc>
        <w:tc>
          <w:tcPr>
            <w:tcW w:type="dxa" w:w="14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解释与整合</w:t>
            </w:r>
          </w:p>
        </w:tc>
        <w:tc>
          <w:tcPr>
            <w:tcW w:type="dxa" w:w="5592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每人提交图、结论、讲稿；4号整合PPT；5号建立Q&amp;A题库和backup slides。</w:t>
            </w:r>
          </w:p>
        </w:tc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同步交付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最后2天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彩排定稿</w:t>
            </w:r>
          </w:p>
        </w:tc>
        <w:tc>
          <w:tcPr>
            <w:tcW w:type="dxa" w:w="5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完成两次全流程彩排与一次模拟Q&amp;A；停止增加新模型，只修正表达和明显错误。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全组</w:t>
            </w:r>
          </w:p>
        </w:tc>
      </w:tr>
    </w:tbl>
    <w:p>
      <w:pPr>
        <w:pStyle w:val="Heading1"/>
        <w:keepNext/>
      </w:pPr>
      <w:r>
        <w:t>五、PPT与汇报安排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000"/>
        <w:gridCol w:w="3900"/>
        <w:gridCol w:w="1500"/>
        <w:gridCol w:w="3392"/>
      </w:tblGrid>
      <w:tr>
        <w:trPr>
          <w:tblHeader w:val="true"/>
        </w:trP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/>
                <w:i w:val="0"/>
                <w:color w:val="0B2545"/>
                <w:sz w:val="19"/>
                <w:lang w:val="zh-CN" w:eastAsia="zh-CN"/>
              </w:rPr>
              <w:t>页码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/>
                <w:i w:val="0"/>
                <w:color w:val="0B2545"/>
                <w:sz w:val="19"/>
                <w:lang w:val="zh-CN" w:eastAsia="zh-CN"/>
              </w:rPr>
              <w:t>内容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/>
                <w:i w:val="0"/>
                <w:color w:val="0B2545"/>
                <w:sz w:val="19"/>
                <w:lang w:val="zh-CN" w:eastAsia="zh-CN"/>
              </w:rPr>
              <w:t>负责人</w:t>
            </w:r>
          </w:p>
        </w:tc>
        <w:tc>
          <w:tcPr>
            <w:tcW w:type="dxa" w:w="3392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/>
                <w:i w:val="0"/>
                <w:color w:val="0B2545"/>
                <w:sz w:val="19"/>
                <w:lang w:val="zh-CN" w:eastAsia="zh-CN"/>
              </w:rPr>
              <w:t>讲解重点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1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Title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4号</w:t>
            </w:r>
          </w:p>
        </w:tc>
        <w:tc>
          <w:tcPr>
            <w:tcW w:type="dxa" w:w="3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开场</w:t>
            </w:r>
          </w:p>
        </w:tc>
      </w:tr>
      <w:tr>
        <w:tc>
          <w:tcPr>
            <w:tcW w:type="dxa" w:w="1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2</w:t>
            </w:r>
          </w:p>
        </w:tc>
        <w:tc>
          <w:tcPr>
            <w:tcW w:type="dxa" w:w="39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Background &amp; Research Question</w:t>
            </w:r>
          </w:p>
        </w:tc>
        <w:tc>
          <w:tcPr>
            <w:tcW w:type="dxa" w:w="15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4号</w:t>
            </w:r>
          </w:p>
        </w:tc>
        <w:tc>
          <w:tcPr>
            <w:tcW w:type="dxa" w:w="3392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研究动机与问题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3–4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Dataset, Cleaning &amp; Experimental Setup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1号</w:t>
            </w:r>
          </w:p>
        </w:tc>
        <w:tc>
          <w:tcPr>
            <w:tcW w:type="dxa" w:w="3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数据与公平比较</w:t>
            </w:r>
          </w:p>
        </w:tc>
      </w:tr>
      <w:tr>
        <w:tc>
          <w:tcPr>
            <w:tcW w:type="dxa" w:w="1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5</w:t>
            </w:r>
          </w:p>
        </w:tc>
        <w:tc>
          <w:tcPr>
            <w:tcW w:type="dxa" w:w="39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TF-IDF Keyword Model</w:t>
            </w:r>
          </w:p>
        </w:tc>
        <w:tc>
          <w:tcPr>
            <w:tcW w:type="dxa" w:w="15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2号</w:t>
            </w:r>
          </w:p>
        </w:tc>
        <w:tc>
          <w:tcPr>
            <w:tcW w:type="dxa" w:w="3392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词汇表示与关键词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6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Sentence-BERT Semantic Model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3号</w:t>
            </w:r>
          </w:p>
        </w:tc>
        <w:tc>
          <w:tcPr>
            <w:tcW w:type="dxa" w:w="3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语义表示</w:t>
            </w:r>
          </w:p>
        </w:tc>
      </w:tr>
      <w:tr>
        <w:tc>
          <w:tcPr>
            <w:tcW w:type="dxa" w:w="1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7</w:t>
            </w:r>
          </w:p>
        </w:tc>
        <w:tc>
          <w:tcPr>
            <w:tcW w:type="dxa" w:w="39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Controlled Perturbations</w:t>
            </w:r>
          </w:p>
        </w:tc>
        <w:tc>
          <w:tcPr>
            <w:tcW w:type="dxa" w:w="15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4号</w:t>
            </w:r>
          </w:p>
        </w:tc>
        <w:tc>
          <w:tcPr>
            <w:tcW w:type="dxa" w:w="3392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三类干预实验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8–9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Results &amp; What the Models Learned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5号</w:t>
            </w:r>
          </w:p>
        </w:tc>
        <w:tc>
          <w:tcPr>
            <w:tcW w:type="dxa" w:w="3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综合结果与机制解释</w:t>
            </w:r>
          </w:p>
        </w:tc>
      </w:tr>
      <w:tr>
        <w:tc>
          <w:tcPr>
            <w:tcW w:type="dxa" w:w="1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10</w:t>
            </w:r>
          </w:p>
        </w:tc>
        <w:tc>
          <w:tcPr>
            <w:tcW w:type="dxa" w:w="39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Example Cases</w:t>
            </w:r>
          </w:p>
        </w:tc>
        <w:tc>
          <w:tcPr>
            <w:tcW w:type="dxa" w:w="15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2号＋3号</w:t>
            </w:r>
          </w:p>
        </w:tc>
        <w:tc>
          <w:tcPr>
            <w:tcW w:type="dxa" w:w="3392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对比案例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11–12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Limitations &amp; Conclusion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5号＋4号</w:t>
            </w:r>
          </w:p>
        </w:tc>
        <w:tc>
          <w:tcPr>
            <w:tcW w:type="dxa" w:w="3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局限与结论</w:t>
            </w:r>
          </w:p>
        </w:tc>
      </w:tr>
      <w:tr>
        <w:tc>
          <w:tcPr>
            <w:tcW w:type="dxa" w:w="1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Backup</w:t>
            </w:r>
          </w:p>
        </w:tc>
        <w:tc>
          <w:tcPr>
            <w:tcW w:type="dxa" w:w="39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详细指标、超参数、清洗明细、Q&amp;A</w:t>
            </w:r>
          </w:p>
        </w:tc>
        <w:tc>
          <w:tcPr>
            <w:tcW w:type="dxa" w:w="15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5号</w:t>
            </w:r>
          </w:p>
        </w:tc>
        <w:tc>
          <w:tcPr>
            <w:tcW w:type="dxa" w:w="3392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18"/>
                <w:lang w:val="zh-CN" w:eastAsia="zh-CN"/>
              </w:rPr>
              <w:t>问答支持</w:t>
            </w:r>
          </w:p>
        </w:tc>
      </w:tr>
    </w:tbl>
    <w:p>
      <w:pPr>
        <w:pStyle w:val="Heading1"/>
        <w:keepNext/>
      </w:pPr>
      <w:r>
        <w:t>六、Q&amp;A问题路由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7792"/>
        <w:gridCol w:w="2000"/>
      </w:tblGrid>
      <w:tr>
        <w:trPr>
          <w:tblHeader w:val="true"/>
        </w:trPr>
        <w:tc>
          <w:tcPr>
            <w:tcW w:type="dxa" w:w="7792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/>
                <w:i w:val="0"/>
                <w:color w:val="0B2545"/>
                <w:sz w:val="19"/>
                <w:lang w:val="zh-CN" w:eastAsia="zh-CN"/>
              </w:rPr>
              <w:t>问题类型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/>
                <w:i w:val="0"/>
                <w:color w:val="0B2545"/>
                <w:sz w:val="19"/>
                <w:lang w:val="zh-CN" w:eastAsia="zh-CN"/>
              </w:rPr>
              <w:t>主要回答者</w:t>
            </w:r>
          </w:p>
        </w:tc>
      </w:tr>
      <w:tr>
        <w:tc>
          <w:tcPr>
            <w:tcW w:type="dxa" w:w="7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20"/>
                <w:lang w:val="zh-CN" w:eastAsia="zh-CN"/>
              </w:rPr>
              <w:t>数据清洗、标签解析、删除样本、数据划分、数据泄漏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20"/>
                <w:lang w:val="zh-CN" w:eastAsia="zh-CN"/>
              </w:rPr>
              <w:t>1号</w:t>
            </w:r>
          </w:p>
        </w:tc>
      </w:tr>
      <w:tr>
        <w:tc>
          <w:tcPr>
            <w:tcW w:type="dxa" w:w="7792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20"/>
                <w:lang w:val="zh-CN" w:eastAsia="zh-CN"/>
              </w:rPr>
              <w:t>TF-IDF、Logistic Regression、关键词解释、模型选择</w:t>
            </w:r>
          </w:p>
        </w:tc>
        <w:tc>
          <w:tcPr>
            <w:tcW w:type="dxa" w:w="2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20"/>
                <w:lang w:val="zh-CN" w:eastAsia="zh-CN"/>
              </w:rPr>
              <w:t>2号</w:t>
            </w:r>
          </w:p>
        </w:tc>
      </w:tr>
      <w:tr>
        <w:tc>
          <w:tcPr>
            <w:tcW w:type="dxa" w:w="7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20"/>
                <w:lang w:val="zh-CN" w:eastAsia="zh-CN"/>
              </w:rPr>
              <w:t>Sentence-BERT、embeddings、语义模型与预训练模型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20"/>
                <w:lang w:val="zh-CN" w:eastAsia="zh-CN"/>
              </w:rPr>
              <w:t>3号</w:t>
            </w:r>
          </w:p>
        </w:tc>
      </w:tr>
      <w:tr>
        <w:tc>
          <w:tcPr>
            <w:tcW w:type="dxa" w:w="7792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20"/>
                <w:lang w:val="zh-CN" w:eastAsia="zh-CN"/>
              </w:rPr>
              <w:t>词序打乱、关键词遮蔽、文本截断、PPT研究设计</w:t>
            </w:r>
          </w:p>
        </w:tc>
        <w:tc>
          <w:tcPr>
            <w:tcW w:type="dxa" w:w="2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20"/>
                <w:lang w:val="zh-CN" w:eastAsia="zh-CN"/>
              </w:rPr>
              <w:t>4号</w:t>
            </w:r>
          </w:p>
        </w:tc>
      </w:tr>
      <w:tr>
        <w:tc>
          <w:tcPr>
            <w:tcW w:type="dxa" w:w="7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20"/>
                <w:lang w:val="zh-CN" w:eastAsia="zh-CN"/>
              </w:rPr>
              <w:t>Macro/Micro-F1、置信区间、总体结果、局限与泛化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THeiti" w:hAnsi="STHeiti" w:eastAsia="STHeiti" w:hint="eastAsia"/>
                <w:b w:val="0"/>
                <w:i w:val="0"/>
                <w:color w:val="000000"/>
                <w:sz w:val="20"/>
                <w:lang w:val="zh-CN" w:eastAsia="zh-CN"/>
              </w:rPr>
              <w:t>5号</w:t>
            </w:r>
          </w:p>
        </w:tc>
      </w:tr>
    </w:tbl>
    <w:p>
      <w:pPr>
        <w:pStyle w:val="Heading1"/>
        <w:keepNext/>
      </w:pPr>
      <w:r>
        <w:t>七、统一协作规则</w:t>
      </w:r>
    </w:p>
    <w:p>
      <w:pPr>
        <w:pStyle w:val="ListBullet"/>
        <w:spacing w:after="40" w:line="283" w:lineRule="auto"/>
        <w:ind w:left="540" w:hanging="271"/>
      </w:pP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所有模型必须使用同一份 cleaned data、splits.csv 和genre mapping。</w:t>
      </w:r>
    </w:p>
    <w:p>
      <w:pPr>
        <w:pStyle w:val="ListBullet"/>
        <w:spacing w:after="40" w:line="283" w:lineRule="auto"/>
        <w:ind w:left="540" w:hanging="271"/>
      </w:pP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没有真实输入时，使用小样本、mock keywords或dummy predictions开发，禁止等待。</w:t>
      </w:r>
    </w:p>
    <w:p>
      <w:pPr>
        <w:pStyle w:val="ListBullet"/>
        <w:spacing w:after="40" w:line="283" w:lineRule="auto"/>
        <w:ind w:left="540" w:hanging="271"/>
      </w:pP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所有预测统一输出 movie_id、model、variant、seed、genre_id、y_true、y_score、y_pred。</w:t>
      </w:r>
    </w:p>
    <w:p>
      <w:pPr>
        <w:pStyle w:val="ListBullet"/>
        <w:spacing w:after="40" w:line="283" w:lineRule="auto"/>
        <w:ind w:left="540" w:hanging="271"/>
      </w:pP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每位成员向4号提交：最多2页slides、图表、一句话takeaway和约1分钟speaker notes。</w:t>
      </w:r>
    </w:p>
    <w:p>
      <w:pPr>
        <w:pStyle w:val="ListBullet"/>
        <w:spacing w:after="40" w:line="283" w:lineRule="auto"/>
        <w:ind w:left="540" w:hanging="271"/>
      </w:pP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每位成员都要理解完整研究故事，但只主答自己负责领域的问题。</w:t>
      </w:r>
    </w:p>
    <w:p>
      <w:pPr>
        <w:pStyle w:val="ListBullet"/>
        <w:spacing w:after="40" w:line="283" w:lineRule="auto"/>
        <w:ind w:left="540" w:hanging="271"/>
      </w:pPr>
      <w:r>
        <w:rPr>
          <w:rFonts w:ascii="STHeiti" w:hAnsi="STHeiti" w:eastAsia="STHeiti" w:hint="eastAsia"/>
          <w:b w:val="0"/>
          <w:i w:val="0"/>
          <w:color w:val="000000"/>
          <w:sz w:val="22"/>
          <w:lang w:val="zh-CN" w:eastAsia="zh-CN"/>
        </w:rPr>
        <w:t>最终结论回答“模型学到了什么”，而不是只回答“哪个模型分数最高”。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936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STHeiti" w:hAnsi="STHeiti" w:eastAsia="STHeiti" w:hint="eastAsia"/>
        <w:b w:val="0"/>
        <w:i w:val="0"/>
        <w:color w:val="667085"/>
        <w:sz w:val="18"/>
        <w:lang w:val="zh-CN" w:eastAsia="zh-CN"/>
      </w:rPr>
      <w:t xml:space="preserve">第 </w:t>
    </w:r>
    <w:r>
      <w:rPr>
        <w:rFonts w:ascii="STHeiti" w:hAnsi="STHeiti" w:eastAsia="STHeiti" w:hint="eastAsia"/>
        <w:b w:val="0"/>
        <w:i w:val="0"/>
        <w:color w:val="667085"/>
        <w:sz w:val="18"/>
        <w:lang w:val="zh-CN" w:eastAsia="zh-CN"/>
      </w:rPr>
      <w:fldChar w:fldCharType="begin"/>
      <w:instrText xml:space="preserve"> PAGE </w:instrText>
      <w:fldChar w:fldCharType="end"/>
    </w:r>
    <w:r>
      <w:rPr>
        <w:rFonts w:ascii="STHeiti" w:hAnsi="STHeiti" w:eastAsia="STHeiti" w:hint="eastAsia"/>
        <w:b w:val="0"/>
        <w:i w:val="0"/>
        <w:color w:val="667085"/>
        <w:sz w:val="18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STHeiti" w:hAnsi="STHeiti" w:eastAsia="STHeiti" w:hint="eastAsia"/>
        <w:b w:val="0"/>
        <w:i w:val="0"/>
        <w:color w:val="667085"/>
        <w:sz w:val="18"/>
        <w:lang w:val="zh-CN" w:eastAsia="zh-CN"/>
      </w:rPr>
      <w:t>课程研究项目 · 最终分工与协作方案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THeiti" w:hAnsi="STHeiti" w:eastAsia="STHeiti" w:hint="eastAs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THeiti" w:hAnsi="STHeiti" w:eastAsia="STHeiti" w:hint="eastAsi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THeiti" w:hAnsi="STHeiti" w:eastAsia="STHeiti" w:hint="eastAsi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THeiti" w:hAnsi="STHeiti" w:eastAsia="STHeiti" w:hint="eastAsi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