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hd w:fill="1A6B3A" w:val="clear"/>
        <w:jc w:val="center"/>
      </w:pPr>
      <w:r>
        <w:rPr>
          <w:b/>
          <w:bCs/>
          <w:color w:val="FFFFFF"/>
          <w:sz w:val="80"/>
          <w:szCs w:val="80"/>
        </w:rPr>
        <w:t xml:space="preserve">PATRIMOI</w:t>
      </w:r>
    </w:p>
    <w:p>
      <w:pPr>
        <w:shd w:fill="1A6B3A" w:val="clear"/>
        <w:jc w:val="center"/>
      </w:pPr>
      <w:r>
        <w:rPr>
          <w:b/>
          <w:bCs/>
          <w:color w:val="FFFFFF"/>
          <w:sz w:val="32"/>
          <w:szCs w:val="32"/>
        </w:rPr>
        <w:t xml:space="preserve">Document Fonctionnel</w:t>
      </w:r>
    </w:p>
    <w:p>
      <w:pPr>
        <w:shd w:fill="1A6B3A" w:val="clear"/>
        <w:spacing w:after="80" w:before="0"/>
        <w:jc w:val="center"/>
      </w:pPr>
      <w:r>
        <w:rPr>
          <w:i/>
          <w:iCs/>
          <w:color w:val="FFFFFF"/>
          <w:sz w:val="22"/>
          <w:szCs w:val="22"/>
        </w:rPr>
        <w:t xml:space="preserve">Ce que fait l'app, pourquoi, et ce qu'elle ne fait pas</w:t>
      </w:r>
    </w:p>
    <w:p>
      <w:pPr>
        <w:spacing w:after="50" w:before="50"/>
      </w:pPr>
    </w:p>
    <w:p>
      <w:pPr>
        <w:spacing w:after="320" w:before="160"/>
        <w:jc w:val="center"/>
      </w:pPr>
      <w:r>
        <w:rPr>
          <w:i/>
          <w:iCs/>
          <w:color w:val="1A1A1A"/>
          <w:sz w:val="20"/>
          <w:szCs w:val="20"/>
        </w:rPr>
        <w:t xml:space="preserve">Version 1.6  ·  Juillet 2026</w:t>
      </w: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2400"/>
            <w:shd w:fill="1A6B3A" w:val="clear"/>
          </w:tcPr>
          <w:p>
            <w:pPr>
              <w:spacing w:after="30" w:before="30"/>
              <w:jc w:val="center"/>
            </w:pPr>
            <w:r>
              <w:rPr>
                <w:b/>
                <w:bCs/>
                <w:color w:val="FFFFFF"/>
                <w:sz w:val="17"/>
                <w:szCs w:val="17"/>
              </w:rPr>
              <w:t xml:space="preserve">Champ</w:t>
            </w:r>
          </w:p>
        </w:tc>
        <w:tc>
          <w:tcPr>
            <w:tcW w:type="dxa" w:w="5400"/>
            <w:shd w:fill="1A6B3A" w:val="clear"/>
          </w:tcPr>
          <w:p>
            <w:pPr>
              <w:spacing w:after="30" w:before="30"/>
              <w:jc w:val="center"/>
            </w:pPr>
            <w:r>
              <w:rPr>
                <w:b/>
                <w:bCs/>
                <w:color w:val="FFFFFF"/>
                <w:sz w:val="17"/>
                <w:szCs w:val="17"/>
              </w:rPr>
              <w:t xml:space="preserve">Valeur</w:t>
            </w:r>
          </w:p>
        </w:tc>
      </w:tr>
      <w:tr>
        <w:tc>
          <w:tcPr>
            <w:tcW w:type="dxa" w:w="2400"/>
            <w:shd w:fill="FFFFFF" w:val="clear"/>
          </w:tcPr>
          <w:p>
            <w:pPr>
              <w:spacing w:after="28" w:before="28"/>
              <w:ind w:left="60"/>
            </w:pPr>
            <w:r>
              <w:rPr>
                <w:color w:val="1A1A1A"/>
                <w:sz w:val="17"/>
                <w:szCs w:val="17"/>
              </w:rPr>
              <w:t xml:space="preserve">Produit</w:t>
            </w:r>
          </w:p>
        </w:tc>
        <w:tc>
          <w:tcPr>
            <w:tcW w:type="dxa" w:w="5400"/>
            <w:shd w:fill="FFFFFF" w:val="clear"/>
          </w:tcPr>
          <w:p>
            <w:pPr>
              <w:spacing w:after="28" w:before="28"/>
              <w:ind w:left="60"/>
            </w:pPr>
            <w:r>
              <w:rPr>
                <w:color w:val="1A1A1A"/>
                <w:sz w:val="17"/>
                <w:szCs w:val="17"/>
              </w:rPr>
              <w:t xml:space="preserve">PatriMoi — iOS</w:t>
            </w:r>
          </w:p>
        </w:tc>
      </w:tr>
      <w:tr>
        <w:tc>
          <w:tcPr>
            <w:tcW w:type="dxa" w:w="2400"/>
            <w:shd w:fill="F4F4F4" w:val="clear"/>
          </w:tcPr>
          <w:p>
            <w:pPr>
              <w:spacing w:after="28" w:before="28"/>
              <w:ind w:left="60"/>
            </w:pPr>
            <w:r>
              <w:rPr>
                <w:color w:val="1A1A1A"/>
                <w:sz w:val="17"/>
                <w:szCs w:val="17"/>
              </w:rPr>
              <w:t xml:space="preserve">Version</w:t>
            </w:r>
          </w:p>
        </w:tc>
        <w:tc>
          <w:tcPr>
            <w:tcW w:type="dxa" w:w="5400"/>
            <w:shd w:fill="F4F4F4" w:val="clear"/>
          </w:tcPr>
          <w:p>
            <w:pPr>
              <w:spacing w:after="28" w:before="28"/>
              <w:ind w:left="60"/>
            </w:pPr>
            <w:r>
              <w:rPr>
                <w:color w:val="1A1A1A"/>
                <w:sz w:val="17"/>
                <w:szCs w:val="17"/>
              </w:rPr>
              <w:t xml:space="preserve">1.6</w:t>
            </w:r>
          </w:p>
        </w:tc>
      </w:tr>
      <w:tr>
        <w:tc>
          <w:tcPr>
            <w:tcW w:type="dxa" w:w="2400"/>
            <w:shd w:fill="FFFFFF" w:val="clear"/>
          </w:tcPr>
          <w:p>
            <w:pPr>
              <w:spacing w:after="28" w:before="28"/>
              <w:ind w:left="60"/>
            </w:pPr>
            <w:r>
              <w:rPr>
                <w:color w:val="1A1A1A"/>
                <w:sz w:val="17"/>
                <w:szCs w:val="17"/>
              </w:rPr>
              <w:t xml:space="preserve">Slogan</w:t>
            </w:r>
          </w:p>
        </w:tc>
        <w:tc>
          <w:tcPr>
            <w:tcW w:type="dxa" w:w="5400"/>
            <w:shd w:fill="FFFFFF" w:val="clear"/>
          </w:tcPr>
          <w:p>
            <w:pPr>
              <w:spacing w:after="28" w:before="28"/>
              <w:ind w:left="60"/>
            </w:pPr>
            <w:r>
              <w:rPr>
                <w:color w:val="1A1A1A"/>
                <w:sz w:val="17"/>
                <w:szCs w:val="17"/>
              </w:rPr>
              <w:t xml:space="preserve">"Made in Morocco, For Morocco" — "Votre Patrimoine. Votre Avenir."</w:t>
            </w:r>
          </w:p>
        </w:tc>
      </w:tr>
      <w:tr>
        <w:tc>
          <w:tcPr>
            <w:tcW w:type="dxa" w:w="2400"/>
            <w:shd w:fill="F4F4F4" w:val="clear"/>
          </w:tcPr>
          <w:p>
            <w:pPr>
              <w:spacing w:after="28" w:before="28"/>
              <w:ind w:left="60"/>
            </w:pPr>
            <w:r>
              <w:rPr>
                <w:color w:val="1A1A1A"/>
                <w:sz w:val="17"/>
                <w:szCs w:val="17"/>
              </w:rPr>
              <w:t xml:space="preserve">Type</w:t>
            </w:r>
          </w:p>
        </w:tc>
        <w:tc>
          <w:tcPr>
            <w:tcW w:type="dxa" w:w="5400"/>
            <w:shd w:fill="F4F4F4" w:val="clear"/>
          </w:tcPr>
          <w:p>
            <w:pPr>
              <w:spacing w:after="28" w:before="28"/>
              <w:ind w:left="60"/>
            </w:pPr>
            <w:r>
              <w:rPr>
                <w:color w:val="1A1A1A"/>
                <w:sz w:val="17"/>
                <w:szCs w:val="17"/>
              </w:rPr>
              <w:t xml:space="preserve">Application iOS de gestion de patrimoine</w:t>
            </w:r>
          </w:p>
        </w:tc>
      </w:tr>
      <w:tr>
        <w:tc>
          <w:tcPr>
            <w:tcW w:type="dxa" w:w="2400"/>
            <w:shd w:fill="FFFFFF" w:val="clear"/>
          </w:tcPr>
          <w:p>
            <w:pPr>
              <w:spacing w:after="28" w:before="28"/>
              <w:ind w:left="60"/>
            </w:pPr>
            <w:r>
              <w:rPr>
                <w:color w:val="1A1A1A"/>
                <w:sz w:val="17"/>
                <w:szCs w:val="17"/>
              </w:rPr>
              <w:t xml:space="preserve">Marché</w:t>
            </w:r>
          </w:p>
        </w:tc>
        <w:tc>
          <w:tcPr>
            <w:tcW w:type="dxa" w:w="5400"/>
            <w:shd w:fill="FFFFFF" w:val="clear"/>
          </w:tcPr>
          <w:p>
            <w:pPr>
              <w:spacing w:after="28" w:before="28"/>
              <w:ind w:left="60"/>
            </w:pPr>
            <w:r>
              <w:rPr>
                <w:color w:val="1A1A1A"/>
                <w:sz w:val="17"/>
                <w:szCs w:val="17"/>
              </w:rPr>
              <w:t xml:space="preserve">Particuliers marocains</w:t>
            </w:r>
          </w:p>
        </w:tc>
      </w:tr>
      <w:tr>
        <w:tc>
          <w:tcPr>
            <w:tcW w:type="dxa" w:w="2400"/>
            <w:shd w:fill="F4F4F4" w:val="clear"/>
          </w:tcPr>
          <w:p>
            <w:pPr>
              <w:spacing w:after="28" w:before="28"/>
              <w:ind w:left="60"/>
            </w:pPr>
            <w:r>
              <w:rPr>
                <w:color w:val="1A1A1A"/>
                <w:sz w:val="17"/>
                <w:szCs w:val="17"/>
              </w:rPr>
              <w:t xml:space="preserve">Modèle</w:t>
            </w:r>
          </w:p>
        </w:tc>
        <w:tc>
          <w:tcPr>
            <w:tcW w:type="dxa" w:w="5400"/>
            <w:shd w:fill="F4F4F4" w:val="clear"/>
          </w:tcPr>
          <w:p>
            <w:pPr>
              <w:spacing w:after="28" w:before="28"/>
              <w:ind w:left="60"/>
            </w:pPr>
            <w:r>
              <w:rPr>
                <w:color w:val="1A1A1A"/>
                <w:sz w:val="17"/>
                <w:szCs w:val="17"/>
              </w:rPr>
              <w:t xml:space="preserve">Gratuit + PatriMoi+ (29 DH/mois)</w:t>
            </w:r>
          </w:p>
        </w:tc>
      </w:tr>
      <w:tr>
        <w:tc>
          <w:tcPr>
            <w:tcW w:type="dxa" w:w="2400"/>
            <w:shd w:fill="FFFFFF" w:val="clear"/>
          </w:tcPr>
          <w:p>
            <w:pPr>
              <w:spacing w:after="28" w:before="28"/>
              <w:ind w:left="60"/>
            </w:pPr>
            <w:r>
              <w:rPr>
                <w:color w:val="1A1A1A"/>
                <w:sz w:val="17"/>
                <w:szCs w:val="17"/>
              </w:rPr>
              <w:t xml:space="preserve">Données marché</w:t>
            </w:r>
          </w:p>
        </w:tc>
        <w:tc>
          <w:tcPr>
            <w:tcW w:type="dxa" w:w="5400"/>
            <w:shd w:fill="FFFFFF" w:val="clear"/>
          </w:tcPr>
          <w:p>
            <w:pPr>
              <w:spacing w:after="28" w:before="28"/>
              <w:ind w:left="60"/>
            </w:pPr>
            <w:r>
              <w:rPr>
                <w:color w:val="1A1A1A"/>
                <w:sz w:val="17"/>
                <w:szCs w:val="17"/>
              </w:rPr>
              <w:t xml:space="preserve">Cours BVC — 75 titres — mis à jour en heures de bourse</w:t>
            </w:r>
          </w:p>
        </w:tc>
      </w:tr>
      <w:tr>
        <w:tc>
          <w:tcPr>
            <w:tcW w:type="dxa" w:w="2400"/>
            <w:shd w:fill="F4F4F4" w:val="clear"/>
          </w:tcPr>
          <w:p>
            <w:pPr>
              <w:spacing w:after="28" w:before="28"/>
              <w:ind w:left="60"/>
            </w:pPr>
            <w:r>
              <w:rPr>
                <w:color w:val="1A1A1A"/>
                <w:sz w:val="17"/>
                <w:szCs w:val="17"/>
              </w:rPr>
              <w:t xml:space="preserve">Connectivité</w:t>
            </w:r>
          </w:p>
        </w:tc>
        <w:tc>
          <w:tcPr>
            <w:tcW w:type="dxa" w:w="5400"/>
            <w:shd w:fill="F4F4F4" w:val="clear"/>
          </w:tcPr>
          <w:p>
            <w:pPr>
              <w:spacing w:after="28" w:before="28"/>
              <w:ind w:left="60"/>
            </w:pPr>
            <w:r>
              <w:rPr>
                <w:color w:val="1A1A1A"/>
                <w:sz w:val="17"/>
                <w:szCs w:val="17"/>
              </w:rPr>
              <w:t xml:space="preserve">Aucune connexion bancaire — saisie manuelle</w:t>
            </w:r>
          </w:p>
        </w:tc>
      </w:tr>
      <w:tr>
        <w:tc>
          <w:tcPr>
            <w:tcW w:type="dxa" w:w="2400"/>
            <w:shd w:fill="FFFFFF" w:val="clear"/>
          </w:tcPr>
          <w:p>
            <w:pPr>
              <w:spacing w:after="28" w:before="28"/>
              <w:ind w:left="60"/>
            </w:pPr>
            <w:r>
              <w:rPr>
                <w:color w:val="1A1A1A"/>
                <w:sz w:val="17"/>
                <w:szCs w:val="17"/>
              </w:rPr>
              <w:t xml:space="preserve">Statut</w:t>
            </w:r>
          </w:p>
        </w:tc>
        <w:tc>
          <w:tcPr>
            <w:tcW w:type="dxa" w:w="5400"/>
            <w:shd w:fill="FFFFFF" w:val="clear"/>
          </w:tcPr>
          <w:p>
            <w:pPr>
              <w:spacing w:after="28" w:before="28"/>
              <w:ind w:left="60"/>
            </w:pPr>
            <w:r>
              <w:rPr>
                <w:color w:val="1A1A1A"/>
                <w:sz w:val="17"/>
                <w:szCs w:val="17"/>
              </w:rPr>
              <w:t xml:space="preserve">En développement — pas encore soumis sur l'App Store</w:t>
            </w:r>
          </w:p>
        </w:tc>
      </w:tr>
      <w:tr>
        <w:tc>
          <w:tcPr>
            <w:tcW w:type="dxa" w:w="2400"/>
            <w:shd w:fill="F4F4F4" w:val="clear"/>
          </w:tcPr>
          <w:p>
            <w:pPr>
              <w:spacing w:after="28" w:before="28"/>
              <w:ind w:left="60"/>
            </w:pPr>
            <w:r>
              <w:rPr>
                <w:color w:val="1A1A1A"/>
                <w:sz w:val="17"/>
                <w:szCs w:val="17"/>
              </w:rPr>
              <w:t xml:space="preserve">Contact</w:t>
            </w:r>
          </w:p>
        </w:tc>
        <w:tc>
          <w:tcPr>
            <w:tcW w:type="dxa" w:w="5400"/>
            <w:shd w:fill="F4F4F4" w:val="clear"/>
          </w:tcPr>
          <w:p>
            <w:pPr>
              <w:spacing w:after="28" w:before="28"/>
              <w:ind w:left="60"/>
            </w:pPr>
            <w:r>
              <w:rPr>
                <w:color w:val="1A1A1A"/>
                <w:sz w:val="17"/>
                <w:szCs w:val="17"/>
              </w:rPr>
              <w:t xml:space="preserve">zineddine.othmane1@gmail.com — Instagram @patrimoi.app</w:t>
            </w:r>
          </w:p>
        </w:tc>
      </w:tr>
    </w:tbl>
    <w:p>
      <w:r>
        <w:br w:type="page"/>
      </w:r>
    </w:p>
    <w:p>
      <w:pPr>
        <w:pStyle w:val="Heading1"/>
        <w:shd w:fill="1A6B3A" w:val="clear"/>
        <w:spacing w:after="100" w:before="320"/>
        <w:ind w:left="160" w:right="160"/>
      </w:pPr>
      <w:r>
        <w:rPr>
          <w:b/>
          <w:bCs/>
          <w:color w:val="FFFFFF"/>
          <w:sz w:val="30"/>
          <w:szCs w:val="30"/>
        </w:rPr>
        <w:t xml:space="preserve">1. Le problème que PatriMoi résout</w:t>
      </w:r>
    </w:p>
    <w:p>
      <w:pPr>
        <w:spacing w:after="60" w:before="50"/>
        <w:jc w:val="both"/>
      </w:pPr>
      <w:r>
        <w:rPr>
          <w:color w:val="1A1A1A"/>
          <w:sz w:val="20"/>
          <w:szCs w:val="20"/>
        </w:rPr>
        <w:t xml:space="preserve">Un Marocain avec un patrimoine diversifié — un appartement, quelques titres sur le PEA, de l'épargne en carnet, de l'or, des comptes dans plusieurs banques — n'a aucun endroit unique où voir l'ensemble. Il jongle entre son app bancaire, ses relevés BVC, un fichier Excel, et ses estimations personnelles.</w:t>
      </w:r>
    </w:p>
    <w:p>
      <w:pPr>
        <w:spacing w:after="60" w:before="50"/>
        <w:jc w:val="both"/>
      </w:pPr>
      <w:r>
        <w:rPr>
          <w:color w:val="1A1A1A"/>
          <w:sz w:val="20"/>
          <w:szCs w:val="20"/>
        </w:rPr>
        <w:t xml:space="preserve">PatriMoi répond à une question simple : « Quel est mon patrimoine total aujourd'hui, et comment il évolue ? »</w:t>
      </w:r>
    </w:p>
    <w:p>
      <w:pPr>
        <w:spacing w:after="50" w:before="50"/>
      </w:pPr>
    </w:p>
    <w:p>
      <w:pPr>
        <w:pStyle w:val="Heading2"/>
        <w:pBdr>
          <w:bottom w:val="single" w:color="C6E5D1" w:sz="6" w:space="4"/>
        </w:pBdr>
        <w:spacing w:after="60" w:before="260"/>
      </w:pPr>
      <w:r>
        <w:rPr>
          <w:b/>
          <w:bCs/>
          <w:color w:val="1A6B3A"/>
          <w:sz w:val="26"/>
          <w:szCs w:val="26"/>
        </w:rPr>
        <w:t xml:space="preserve">1.1 Ce qui existe et pourquoi ça ne suffit pas</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2600"/>
            <w:shd w:fill="1A6B3A" w:val="clear"/>
          </w:tcPr>
          <w:p>
            <w:pPr>
              <w:spacing w:after="30" w:before="30"/>
              <w:jc w:val="center"/>
            </w:pPr>
            <w:r>
              <w:rPr>
                <w:b/>
                <w:bCs/>
                <w:color w:val="FFFFFF"/>
                <w:sz w:val="17"/>
                <w:szCs w:val="17"/>
              </w:rPr>
              <w:t xml:space="preserve">Solution existante</w:t>
            </w:r>
          </w:p>
        </w:tc>
        <w:tc>
          <w:tcPr>
            <w:tcW w:type="dxa" w:w="5200"/>
            <w:shd w:fill="1A6B3A" w:val="clear"/>
          </w:tcPr>
          <w:p>
            <w:pPr>
              <w:spacing w:after="30" w:before="30"/>
              <w:jc w:val="center"/>
            </w:pPr>
            <w:r>
              <w:rPr>
                <w:b/>
                <w:bCs/>
                <w:color w:val="FFFFFF"/>
                <w:sz w:val="17"/>
                <w:szCs w:val="17"/>
              </w:rPr>
              <w:t xml:space="preserve">Limite principale</w:t>
            </w:r>
          </w:p>
        </w:tc>
      </w:tr>
      <w:tr>
        <w:tc>
          <w:tcPr>
            <w:tcW w:type="dxa" w:w="2600"/>
            <w:shd w:fill="FFFFFF" w:val="clear"/>
          </w:tcPr>
          <w:p>
            <w:pPr>
              <w:spacing w:after="28" w:before="28"/>
              <w:ind w:left="60"/>
            </w:pPr>
            <w:r>
              <w:rPr>
                <w:color w:val="1A1A1A"/>
                <w:sz w:val="17"/>
                <w:szCs w:val="17"/>
              </w:rPr>
              <w:t xml:space="preserve">App bancaire (CIH, Attijariwafa...)</w:t>
            </w:r>
          </w:p>
        </w:tc>
        <w:tc>
          <w:tcPr>
            <w:tcW w:type="dxa" w:w="5200"/>
            <w:shd w:fill="FFFFFF" w:val="clear"/>
          </w:tcPr>
          <w:p>
            <w:pPr>
              <w:spacing w:after="28" w:before="28"/>
              <w:ind w:left="60"/>
            </w:pPr>
            <w:r>
              <w:rPr>
                <w:color w:val="1A1A1A"/>
                <w:sz w:val="17"/>
                <w:szCs w:val="17"/>
              </w:rPr>
              <w:t xml:space="preserve">Ne montre que les comptes de cette banque. Aucune vision consolidée.</w:t>
            </w:r>
          </w:p>
        </w:tc>
      </w:tr>
      <w:tr>
        <w:tc>
          <w:tcPr>
            <w:tcW w:type="dxa" w:w="2600"/>
            <w:shd w:fill="F4F4F4" w:val="clear"/>
          </w:tcPr>
          <w:p>
            <w:pPr>
              <w:spacing w:after="28" w:before="28"/>
              <w:ind w:left="60"/>
            </w:pPr>
            <w:r>
              <w:rPr>
                <w:color w:val="1A1A1A"/>
                <w:sz w:val="17"/>
                <w:szCs w:val="17"/>
              </w:rPr>
              <w:t xml:space="preserve">Feuille Excel personnelle</w:t>
            </w:r>
          </w:p>
        </w:tc>
        <w:tc>
          <w:tcPr>
            <w:tcW w:type="dxa" w:w="5200"/>
            <w:shd w:fill="F4F4F4" w:val="clear"/>
          </w:tcPr>
          <w:p>
            <w:pPr>
              <w:spacing w:after="28" w:before="28"/>
              <w:ind w:left="60"/>
            </w:pPr>
            <w:r>
              <w:rPr>
                <w:color w:val="1A1A1A"/>
                <w:sz w:val="17"/>
                <w:szCs w:val="17"/>
              </w:rPr>
              <w:t xml:space="preserve">Mise à jour manuelle. Pas de cours BVC automatiques. Pas d'historique structuré.</w:t>
            </w:r>
          </w:p>
        </w:tc>
      </w:tr>
      <w:tr>
        <w:tc>
          <w:tcPr>
            <w:tcW w:type="dxa" w:w="2600"/>
            <w:shd w:fill="FFFFFF" w:val="clear"/>
          </w:tcPr>
          <w:p>
            <w:pPr>
              <w:spacing w:after="28" w:before="28"/>
              <w:ind w:left="60"/>
            </w:pPr>
            <w:r>
              <w:rPr>
                <w:color w:val="1A1A1A"/>
                <w:sz w:val="17"/>
                <w:szCs w:val="17"/>
              </w:rPr>
              <w:t xml:space="preserve">Applications patrimoniales françaises</w:t>
            </w:r>
          </w:p>
        </w:tc>
        <w:tc>
          <w:tcPr>
            <w:tcW w:type="dxa" w:w="5200"/>
            <w:shd w:fill="FFFFFF" w:val="clear"/>
          </w:tcPr>
          <w:p>
            <w:pPr>
              <w:spacing w:after="28" w:before="28"/>
              <w:ind w:left="60"/>
            </w:pPr>
            <w:r>
              <w:rPr>
                <w:color w:val="1A1A1A"/>
                <w:sz w:val="17"/>
                <w:szCs w:val="17"/>
              </w:rPr>
              <w:t xml:space="preserve">Conçues pour l'euro, la fiscalité française, le CAC40. Inadaptées au contexte marocain.</w:t>
            </w:r>
          </w:p>
        </w:tc>
      </w:tr>
      <w:tr>
        <w:tc>
          <w:tcPr>
            <w:tcW w:type="dxa" w:w="2600"/>
            <w:shd w:fill="F4F4F4" w:val="clear"/>
          </w:tcPr>
          <w:p>
            <w:pPr>
              <w:spacing w:after="28" w:before="28"/>
              <w:ind w:left="60"/>
            </w:pPr>
            <w:r>
              <w:rPr>
                <w:color w:val="1A1A1A"/>
                <w:sz w:val="17"/>
                <w:szCs w:val="17"/>
              </w:rPr>
              <w:t xml:space="preserve">Banque privée / conseiller patrimonial</w:t>
            </w:r>
          </w:p>
        </w:tc>
        <w:tc>
          <w:tcPr>
            <w:tcW w:type="dxa" w:w="5200"/>
            <w:shd w:fill="F4F4F4" w:val="clear"/>
          </w:tcPr>
          <w:p>
            <w:pPr>
              <w:spacing w:after="28" w:before="28"/>
              <w:ind w:left="60"/>
            </w:pPr>
            <w:r>
              <w:rPr>
                <w:color w:val="1A1A1A"/>
                <w:sz w:val="17"/>
                <w:szCs w:val="17"/>
              </w:rPr>
              <w:t xml:space="preserve">Disponible à partir de seuils de patrimoine élevés. Pas adapté à l'ensemble des ménages.</w:t>
            </w:r>
          </w:p>
        </w:tc>
      </w:tr>
    </w:tbl>
    <w:p>
      <w:pPr>
        <w:pStyle w:val="Heading2"/>
        <w:pBdr>
          <w:bottom w:val="single" w:color="C6E5D1" w:sz="6" w:space="4"/>
        </w:pBdr>
        <w:spacing w:after="60" w:before="260"/>
      </w:pPr>
      <w:r>
        <w:rPr>
          <w:b/>
          <w:bCs/>
          <w:color w:val="1A6B3A"/>
          <w:sz w:val="26"/>
          <w:szCs w:val="26"/>
        </w:rPr>
        <w:t xml:space="preserve">1.2 Ce que PatriMoi n'est pas</w:t>
      </w:r>
    </w:p>
    <w:p>
      <w:pPr>
        <w:spacing w:after="30" w:before="30"/>
        <w:ind w:left="360"/>
      </w:pPr>
      <w:r>
        <w:rPr>
          <w:color w:val="1A1A1A"/>
          <w:sz w:val="20"/>
          <w:szCs w:val="20"/>
        </w:rPr>
        <w:t xml:space="preserve">• Un outil de conseil en investissement au sens légal</w:t>
      </w:r>
    </w:p>
    <w:p>
      <w:pPr>
        <w:spacing w:after="30" w:before="30"/>
        <w:ind w:left="360"/>
      </w:pPr>
      <w:r>
        <w:rPr>
          <w:color w:val="1A1A1A"/>
          <w:sz w:val="20"/>
          <w:szCs w:val="20"/>
        </w:rPr>
        <w:t xml:space="preserve">• Un agrégateur bancaire automatique (pas d'API bancaire standardisée au Maroc)</w:t>
      </w:r>
    </w:p>
    <w:p>
      <w:pPr>
        <w:spacing w:after="30" w:before="30"/>
        <w:ind w:left="360"/>
      </w:pPr>
      <w:r>
        <w:rPr>
          <w:color w:val="1A1A1A"/>
          <w:sz w:val="20"/>
          <w:szCs w:val="20"/>
        </w:rPr>
        <w:t xml:space="preserve">• Un outil de prédiction ou de trading</w:t>
      </w:r>
    </w:p>
    <w:p>
      <w:pPr>
        <w:spacing w:after="30" w:before="30"/>
        <w:ind w:left="360"/>
      </w:pPr>
      <w:r>
        <w:rPr>
          <w:color w:val="1A1A1A"/>
          <w:sz w:val="20"/>
          <w:szCs w:val="20"/>
        </w:rPr>
        <w:t xml:space="preserve">• Un substitut à un conseiller patrimonial — il le complète</w:t>
      </w:r>
    </w:p>
    <w:p>
      <w:pPr>
        <w:pBdr>
          <w:left w:val="single" w:color="1A6B3A" w:sz="14" w:space="10"/>
        </w:pBdr>
        <w:shd w:fill="E8F5EE" w:val="clear"/>
        <w:spacing w:after="70" w:before="70"/>
        <w:ind w:left="200"/>
      </w:pPr>
      <w:r>
        <w:rPr>
          <w:i/>
          <w:iCs/>
          <w:color w:val="1A1A1A"/>
          <w:sz w:val="18"/>
          <w:szCs w:val="18"/>
        </w:rPr>
        <w:t xml:space="preserve">Les observations affichées dans la page Conseils sont basées sur des règles financières établies. Elles ne constituent pas des recommandations personnalisées au sens réglementaire.</w:t>
      </w:r>
    </w:p>
    <w:p>
      <w:r>
        <w:br w:type="page"/>
      </w:r>
    </w:p>
    <w:p>
      <w:pPr>
        <w:pStyle w:val="Heading1"/>
        <w:shd w:fill="1A6B3A" w:val="clear"/>
        <w:spacing w:after="100" w:before="320"/>
        <w:ind w:left="160" w:right="160"/>
      </w:pPr>
      <w:r>
        <w:rPr>
          <w:b/>
          <w:bCs/>
          <w:color w:val="FFFFFF"/>
          <w:sz w:val="30"/>
          <w:szCs w:val="30"/>
        </w:rPr>
        <w:t xml:space="preserve">2. Authentification et accès</w:t>
      </w:r>
    </w:p>
    <w:p>
      <w:pPr>
        <w:pStyle w:val="Heading2"/>
        <w:pBdr>
          <w:bottom w:val="single" w:color="C6E5D1" w:sz="6" w:space="4"/>
        </w:pBdr>
        <w:spacing w:after="60" w:before="260"/>
      </w:pPr>
      <w:r>
        <w:rPr>
          <w:b/>
          <w:bCs/>
          <w:color w:val="1A6B3A"/>
          <w:sz w:val="26"/>
          <w:szCs w:val="26"/>
        </w:rPr>
        <w:t xml:space="preserve">2.1 Page d'authentification (3 onglets)</w:t>
      </w:r>
    </w:p>
    <w:p>
      <w:pPr>
        <w:spacing w:after="60" w:before="50"/>
        <w:jc w:val="both"/>
      </w:pPr>
      <w:r>
        <w:rPr>
          <w:color w:val="1A1A1A"/>
          <w:sz w:val="20"/>
          <w:szCs w:val="20"/>
        </w:rPr>
        <w:t xml:space="preserve">La page d'authentification est le premier écran affiché à un utilisateur sans session active. Elle propose trois onglets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gridCol w:w="100"/>
      </w:tblGrid>
      <w:tr>
        <w:trPr>
          <w:tblHeader/>
        </w:trPr>
        <w:tc>
          <w:tcPr>
            <w:tcW w:type="dxa" w:w="2000"/>
            <w:shd w:fill="1A6B3A" w:val="clear"/>
          </w:tcPr>
          <w:p>
            <w:pPr>
              <w:spacing w:after="30" w:before="30"/>
              <w:jc w:val="center"/>
            </w:pPr>
            <w:r>
              <w:rPr>
                <w:b/>
                <w:bCs/>
                <w:color w:val="FFFFFF"/>
                <w:sz w:val="17"/>
                <w:szCs w:val="17"/>
              </w:rPr>
              <w:t xml:space="preserve">Onglet</w:t>
            </w:r>
          </w:p>
        </w:tc>
        <w:tc>
          <w:tcPr>
            <w:tcW w:type="dxa" w:w="2800"/>
            <w:shd w:fill="1A6B3A" w:val="clear"/>
          </w:tcPr>
          <w:p>
            <w:pPr>
              <w:spacing w:after="30" w:before="30"/>
              <w:jc w:val="center"/>
            </w:pPr>
            <w:r>
              <w:rPr>
                <w:b/>
                <w:bCs/>
                <w:color w:val="FFFFFF"/>
                <w:sz w:val="17"/>
                <w:szCs w:val="17"/>
              </w:rPr>
              <w:t xml:space="preserve">Champs requis</w:t>
            </w:r>
          </w:p>
        </w:tc>
        <w:tc>
          <w:tcPr>
            <w:tcW w:type="dxa" w:w="3000"/>
            <w:shd w:fill="1A6B3A" w:val="clear"/>
          </w:tcPr>
          <w:p>
            <w:pPr>
              <w:spacing w:after="30" w:before="30"/>
              <w:jc w:val="center"/>
            </w:pPr>
            <w:r>
              <w:rPr>
                <w:b/>
                <w:bCs/>
                <w:color w:val="FFFFFF"/>
                <w:sz w:val="17"/>
                <w:szCs w:val="17"/>
              </w:rPr>
              <w:t xml:space="preserve">Action déclenchée</w:t>
            </w:r>
          </w:p>
        </w:tc>
      </w:tr>
      <w:tr>
        <w:tc>
          <w:tcPr>
            <w:tcW w:type="dxa" w:w="2000"/>
            <w:shd w:fill="FFFFFF" w:val="clear"/>
          </w:tcPr>
          <w:p>
            <w:pPr>
              <w:spacing w:after="28" w:before="28"/>
              <w:ind w:left="60"/>
            </w:pPr>
            <w:r>
              <w:rPr>
                <w:color w:val="1A1A1A"/>
                <w:sz w:val="17"/>
                <w:szCs w:val="17"/>
              </w:rPr>
              <w:t xml:space="preserve">Connexion</w:t>
            </w:r>
          </w:p>
        </w:tc>
        <w:tc>
          <w:tcPr>
            <w:tcW w:type="dxa" w:w="2800"/>
            <w:shd w:fill="FFFFFF" w:val="clear"/>
          </w:tcPr>
          <w:p>
            <w:pPr>
              <w:spacing w:after="28" w:before="28"/>
              <w:ind w:left="60"/>
            </w:pPr>
            <w:r>
              <w:rPr>
                <w:color w:val="1A1A1A"/>
                <w:sz w:val="17"/>
                <w:szCs w:val="17"/>
              </w:rPr>
              <w:t xml:space="preserve">Email + mot de passe</w:t>
            </w:r>
          </w:p>
        </w:tc>
        <w:tc>
          <w:tcPr>
            <w:tcW w:type="dxa" w:w="3000"/>
            <w:shd w:fill="FFFFFF" w:val="clear"/>
          </w:tcPr>
          <w:p>
            <w:pPr>
              <w:spacing w:after="28" w:before="28"/>
              <w:ind w:left="60"/>
            </w:pPr>
            <w:r>
              <w:rPr>
                <w:color w:val="1A1A1A"/>
                <w:sz w:val="17"/>
                <w:szCs w:val="17"/>
              </w:rPr>
              <w:t xml:space="preserve">signIn() → session Supabase</w:t>
            </w:r>
          </w:p>
        </w:tc>
      </w:tr>
      <w:tr>
        <w:tc>
          <w:tcPr>
            <w:tcW w:type="dxa" w:w="2000"/>
            <w:shd w:fill="F4F4F4" w:val="clear"/>
          </w:tcPr>
          <w:p>
            <w:pPr>
              <w:spacing w:after="28" w:before="28"/>
              <w:ind w:left="60"/>
            </w:pPr>
            <w:r>
              <w:rPr>
                <w:color w:val="1A1A1A"/>
                <w:sz w:val="17"/>
                <w:szCs w:val="17"/>
              </w:rPr>
              <w:t xml:space="preserve">Inscription</w:t>
            </w:r>
          </w:p>
        </w:tc>
        <w:tc>
          <w:tcPr>
            <w:tcW w:type="dxa" w:w="2800"/>
            <w:shd w:fill="F4F4F4" w:val="clear"/>
          </w:tcPr>
          <w:p>
            <w:pPr>
              <w:spacing w:after="28" w:before="28"/>
              <w:ind w:left="60"/>
            </w:pPr>
            <w:r>
              <w:rPr>
                <w:color w:val="1A1A1A"/>
                <w:sz w:val="17"/>
                <w:szCs w:val="17"/>
              </w:rPr>
              <w:t xml:space="preserve">Email + mot de passe + prénom + nom</w:t>
            </w:r>
          </w:p>
        </w:tc>
        <w:tc>
          <w:tcPr>
            <w:tcW w:type="dxa" w:w="3000"/>
            <w:shd w:fill="F4F4F4" w:val="clear"/>
          </w:tcPr>
          <w:p>
            <w:pPr>
              <w:spacing w:after="28" w:before="28"/>
              <w:ind w:left="60"/>
            </w:pPr>
            <w:r>
              <w:rPr>
                <w:color w:val="1A1A1A"/>
                <w:sz w:val="17"/>
                <w:szCs w:val="17"/>
              </w:rPr>
              <w:t xml:space="preserve">signUp() → création compte + métadonnées profil</w:t>
            </w:r>
          </w:p>
        </w:tc>
      </w:tr>
      <w:tr>
        <w:tc>
          <w:tcPr>
            <w:tcW w:type="dxa" w:w="2000"/>
            <w:shd w:fill="FFFFFF" w:val="clear"/>
          </w:tcPr>
          <w:p>
            <w:pPr>
              <w:spacing w:after="28" w:before="28"/>
              <w:ind w:left="60"/>
            </w:pPr>
            <w:r>
              <w:rPr>
                <w:color w:val="1A1A1A"/>
                <w:sz w:val="17"/>
                <w:szCs w:val="17"/>
              </w:rPr>
              <w:t xml:space="preserve">Mot de passe oublié</w:t>
            </w:r>
          </w:p>
        </w:tc>
        <w:tc>
          <w:tcPr>
            <w:tcW w:type="dxa" w:w="2800"/>
            <w:shd w:fill="FFFFFF" w:val="clear"/>
          </w:tcPr>
          <w:p>
            <w:pPr>
              <w:spacing w:after="28" w:before="28"/>
              <w:ind w:left="60"/>
            </w:pPr>
            <w:r>
              <w:rPr>
                <w:color w:val="1A1A1A"/>
                <w:sz w:val="17"/>
                <w:szCs w:val="17"/>
              </w:rPr>
              <w:t xml:space="preserve">Email uniquement</w:t>
            </w:r>
          </w:p>
        </w:tc>
        <w:tc>
          <w:tcPr>
            <w:tcW w:type="dxa" w:w="3000"/>
            <w:shd w:fill="FFFFFF" w:val="clear"/>
          </w:tcPr>
          <w:p>
            <w:pPr>
              <w:spacing w:after="28" w:before="28"/>
              <w:ind w:left="60"/>
            </w:pPr>
            <w:r>
              <w:rPr>
                <w:color w:val="1A1A1A"/>
                <w:sz w:val="17"/>
                <w:szCs w:val="17"/>
              </w:rPr>
              <w:t xml:space="preserve">resetPassword() → lien de réinitialisation par email</w:t>
            </w:r>
          </w:p>
        </w:tc>
      </w:tr>
    </w:tbl>
    <w:p>
      <w:pPr>
        <w:spacing w:after="50" w:before="50"/>
      </w:pPr>
    </w:p>
    <w:p>
      <w:pPr>
        <w:pBdr>
          <w:left w:val="single" w:color="1A6B3A" w:sz="14" w:space="10"/>
        </w:pBdr>
        <w:shd w:fill="E8F5EE" w:val="clear"/>
        <w:spacing w:after="70" w:before="70"/>
        <w:ind w:left="200"/>
      </w:pPr>
      <w:r>
        <w:rPr>
          <w:i/>
          <w:iCs/>
          <w:color w:val="1A1A1A"/>
          <w:sz w:val="18"/>
          <w:szCs w:val="18"/>
        </w:rPr>
        <w:t xml:space="preserve">Le prenom et le nom saisis à l'inscription sont stockés dans raw_user_meta_data Supabase et affichés dans les exports PDF et dans la page d'accueil (ex. "Bonjour, Zineddine !").</w:t>
      </w:r>
    </w:p>
    <w:p>
      <w:pPr>
        <w:pStyle w:val="Heading2"/>
        <w:pBdr>
          <w:bottom w:val="single" w:color="C6E5D1" w:sz="6" w:space="4"/>
        </w:pBdr>
        <w:spacing w:after="60" w:before="260"/>
      </w:pPr>
      <w:r>
        <w:rPr>
          <w:b/>
          <w:bCs/>
          <w:color w:val="1A6B3A"/>
          <w:sz w:val="26"/>
          <w:szCs w:val="26"/>
        </w:rPr>
        <w:t xml:space="preserve">2.2 Mode démo</w:t>
      </w:r>
    </w:p>
    <w:p>
      <w:pPr>
        <w:spacing w:after="60" w:before="50"/>
        <w:jc w:val="both"/>
      </w:pPr>
      <w:r>
        <w:rPr>
          <w:color w:val="1A1A1A"/>
          <w:sz w:val="20"/>
          <w:szCs w:val="20"/>
        </w:rPr>
        <w:t xml:space="preserve">Un bouton "Explorer en mode démo" sur la page d'authentification permet d'accéder à l'app sans créer de compte. Le mode démo charge un patrimoine fictif prérempli. Aucune donnée n'est transmise à Supabase. Les actions de sécurité (PIN, biométrie, modification de profil) sont bloquées avec un message explicatif.</w:t>
      </w:r>
    </w:p>
    <w:p>
      <w:r>
        <w:br w:type="page"/>
      </w:r>
    </w:p>
    <w:p>
      <w:pPr>
        <w:pStyle w:val="Heading1"/>
        <w:shd w:fill="1A6B3A" w:val="clear"/>
        <w:spacing w:after="100" w:before="320"/>
        <w:ind w:left="160" w:right="160"/>
      </w:pPr>
      <w:r>
        <w:rPr>
          <w:b/>
          <w:bCs/>
          <w:color w:val="FFFFFF"/>
          <w:sz w:val="30"/>
          <w:szCs w:val="30"/>
        </w:rPr>
        <w:t xml:space="preserve">3. Structure de navigation</w:t>
      </w:r>
    </w:p>
    <w:p>
      <w:pPr>
        <w:spacing w:after="60" w:before="50"/>
        <w:jc w:val="both"/>
      </w:pPr>
      <w:r>
        <w:rPr>
          <w:color w:val="1A1A1A"/>
          <w:sz w:val="20"/>
          <w:szCs w:val="20"/>
        </w:rPr>
        <w:t xml:space="preserve">L'application comporte 6 pages principales accessibles depuis la barre de navigation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2400"/>
            <w:shd w:fill="1A6B3A" w:val="clear"/>
          </w:tcPr>
          <w:p>
            <w:pPr>
              <w:spacing w:after="30" w:before="30"/>
              <w:jc w:val="center"/>
            </w:pPr>
            <w:r>
              <w:rPr>
                <w:b/>
                <w:bCs/>
                <w:color w:val="FFFFFF"/>
                <w:sz w:val="17"/>
                <w:szCs w:val="17"/>
              </w:rPr>
              <w:t xml:space="preserve">Page</w:t>
            </w:r>
          </w:p>
        </w:tc>
        <w:tc>
          <w:tcPr>
            <w:tcW w:type="dxa" w:w="5400"/>
            <w:shd w:fill="1A6B3A" w:val="clear"/>
          </w:tcPr>
          <w:p>
            <w:pPr>
              <w:spacing w:after="30" w:before="30"/>
              <w:jc w:val="center"/>
            </w:pPr>
            <w:r>
              <w:rPr>
                <w:b/>
                <w:bCs/>
                <w:color w:val="FFFFFF"/>
                <w:sz w:val="17"/>
                <w:szCs w:val="17"/>
              </w:rPr>
              <w:t xml:space="preserve">Rôle</w:t>
            </w:r>
          </w:p>
        </w:tc>
      </w:tr>
      <w:tr>
        <w:tc>
          <w:tcPr>
            <w:tcW w:type="dxa" w:w="2400"/>
            <w:shd w:fill="FFFFFF" w:val="clear"/>
          </w:tcPr>
          <w:p>
            <w:pPr>
              <w:spacing w:after="28" w:before="28"/>
              <w:ind w:left="60"/>
            </w:pPr>
            <w:r>
              <w:rPr>
                <w:color w:val="1A1A1A"/>
                <w:sz w:val="17"/>
                <w:szCs w:val="17"/>
              </w:rPr>
              <w:t xml:space="preserve">Proverbe (accueil)</w:t>
            </w:r>
          </w:p>
        </w:tc>
        <w:tc>
          <w:tcPr>
            <w:tcW w:type="dxa" w:w="5400"/>
            <w:shd w:fill="FFFFFF" w:val="clear"/>
          </w:tcPr>
          <w:p>
            <w:pPr>
              <w:spacing w:after="28" w:before="28"/>
              <w:ind w:left="60"/>
            </w:pPr>
            <w:r>
              <w:rPr>
                <w:color w:val="1A1A1A"/>
                <w:sz w:val="17"/>
                <w:szCs w:val="17"/>
              </w:rPr>
              <w:t xml:space="preserve">Page d'accueil : proverbe du jour, mini-bilan de répartition, contenu éditorial</w:t>
            </w:r>
          </w:p>
        </w:tc>
      </w:tr>
      <w:tr>
        <w:tc>
          <w:tcPr>
            <w:tcW w:type="dxa" w:w="2400"/>
            <w:shd w:fill="F4F4F4" w:val="clear"/>
          </w:tcPr>
          <w:p>
            <w:pPr>
              <w:spacing w:after="28" w:before="28"/>
              <w:ind w:left="60"/>
            </w:pPr>
            <w:r>
              <w:rPr>
                <w:color w:val="1A1A1A"/>
                <w:sz w:val="17"/>
                <w:szCs w:val="17"/>
              </w:rPr>
              <w:t xml:space="preserve">Tableau de bord</w:t>
            </w:r>
          </w:p>
        </w:tc>
        <w:tc>
          <w:tcPr>
            <w:tcW w:type="dxa" w:w="5400"/>
            <w:shd w:fill="F4F4F4" w:val="clear"/>
          </w:tcPr>
          <w:p>
            <w:pPr>
              <w:spacing w:after="28" w:before="28"/>
              <w:ind w:left="60"/>
            </w:pPr>
            <w:r>
              <w:rPr>
                <w:color w:val="1A1A1A"/>
                <w:sz w:val="17"/>
                <w:szCs w:val="17"/>
              </w:rPr>
              <w:t xml:space="preserve">Bilan patrimonial complet, graphe d'évolution, cours MASI, prix de l'or</w:t>
            </w:r>
          </w:p>
        </w:tc>
      </w:tr>
      <w:tr>
        <w:tc>
          <w:tcPr>
            <w:tcW w:type="dxa" w:w="2400"/>
            <w:shd w:fill="FFFFFF" w:val="clear"/>
          </w:tcPr>
          <w:p>
            <w:pPr>
              <w:spacing w:after="28" w:before="28"/>
              <w:ind w:left="60"/>
            </w:pPr>
            <w:r>
              <w:rPr>
                <w:color w:val="1A1A1A"/>
                <w:sz w:val="17"/>
                <w:szCs w:val="17"/>
              </w:rPr>
              <w:t xml:space="preserve">Mes actifs</w:t>
            </w:r>
          </w:p>
        </w:tc>
        <w:tc>
          <w:tcPr>
            <w:tcW w:type="dxa" w:w="5400"/>
            <w:shd w:fill="FFFFFF" w:val="clear"/>
          </w:tcPr>
          <w:p>
            <w:pPr>
              <w:spacing w:after="28" w:before="28"/>
              <w:ind w:left="60"/>
            </w:pPr>
            <w:r>
              <w:rPr>
                <w:color w:val="1A1A1A"/>
                <w:sz w:val="17"/>
                <w:szCs w:val="17"/>
              </w:rPr>
              <w:t xml:space="preserve">Saisie et édition des 8 catégories d'actifs</w:t>
            </w:r>
          </w:p>
        </w:tc>
      </w:tr>
      <w:tr>
        <w:tc>
          <w:tcPr>
            <w:tcW w:type="dxa" w:w="2400"/>
            <w:shd w:fill="F4F4F4" w:val="clear"/>
          </w:tcPr>
          <w:p>
            <w:pPr>
              <w:spacing w:after="28" w:before="28"/>
              <w:ind w:left="60"/>
            </w:pPr>
            <w:r>
              <w:rPr>
                <w:color w:val="1A1A1A"/>
                <w:sz w:val="17"/>
                <w:szCs w:val="17"/>
              </w:rPr>
              <w:t xml:space="preserve">Conseils</w:t>
            </w:r>
          </w:p>
        </w:tc>
        <w:tc>
          <w:tcPr>
            <w:tcW w:type="dxa" w:w="5400"/>
            <w:shd w:fill="F4F4F4" w:val="clear"/>
          </w:tcPr>
          <w:p>
            <w:pPr>
              <w:spacing w:after="28" w:before="28"/>
              <w:ind w:left="60"/>
            </w:pPr>
            <w:r>
              <w:rPr>
                <w:color w:val="1A1A1A"/>
                <w:sz w:val="17"/>
                <w:szCs w:val="17"/>
              </w:rPr>
              <w:t xml:space="preserve">Observations personnalisées + score de santé patrimoniale</w:t>
            </w:r>
          </w:p>
        </w:tc>
      </w:tr>
      <w:tr>
        <w:tc>
          <w:tcPr>
            <w:tcW w:type="dxa" w:w="2400"/>
            <w:shd w:fill="FFFFFF" w:val="clear"/>
          </w:tcPr>
          <w:p>
            <w:pPr>
              <w:spacing w:after="28" w:before="28"/>
              <w:ind w:left="60"/>
            </w:pPr>
            <w:r>
              <w:rPr>
                <w:color w:val="1A1A1A"/>
                <w:sz w:val="17"/>
                <w:szCs w:val="17"/>
              </w:rPr>
              <w:t xml:space="preserve">Paramètres</w:t>
            </w:r>
          </w:p>
        </w:tc>
        <w:tc>
          <w:tcPr>
            <w:tcW w:type="dxa" w:w="5400"/>
            <w:shd w:fill="FFFFFF" w:val="clear"/>
          </w:tcPr>
          <w:p>
            <w:pPr>
              <w:spacing w:after="28" w:before="28"/>
              <w:ind w:left="60"/>
            </w:pPr>
            <w:r>
              <w:rPr>
                <w:color w:val="1A1A1A"/>
                <w:sz w:val="17"/>
                <w:szCs w:val="17"/>
              </w:rPr>
              <w:t xml:space="preserve">Sécurité, profil, objectif, exports, rappels, import CSV, déconnexion</w:t>
            </w:r>
          </w:p>
        </w:tc>
      </w:tr>
      <w:tr>
        <w:tc>
          <w:tcPr>
            <w:tcW w:type="dxa" w:w="2400"/>
            <w:shd w:fill="F4F4F4" w:val="clear"/>
          </w:tcPr>
          <w:p>
            <w:pPr>
              <w:spacing w:after="28" w:before="28"/>
              <w:ind w:left="60"/>
            </w:pPr>
            <w:r>
              <w:rPr>
                <w:color w:val="1A1A1A"/>
                <w:sz w:val="17"/>
                <w:szCs w:val="17"/>
              </w:rPr>
              <w:t xml:space="preserve">À propos</w:t>
            </w:r>
          </w:p>
        </w:tc>
        <w:tc>
          <w:tcPr>
            <w:tcW w:type="dxa" w:w="5400"/>
            <w:shd w:fill="F4F4F4" w:val="clear"/>
          </w:tcPr>
          <w:p>
            <w:pPr>
              <w:spacing w:after="28" w:before="28"/>
              <w:ind w:left="60"/>
            </w:pPr>
            <w:r>
              <w:rPr>
                <w:color w:val="1A1A1A"/>
                <w:sz w:val="17"/>
                <w:szCs w:val="17"/>
              </w:rPr>
              <w:t xml:space="preserve">Informations sur l'app, contact, version</w:t>
            </w:r>
          </w:p>
        </w:tc>
      </w:tr>
    </w:tbl>
    <w:p>
      <w:r>
        <w:br w:type="page"/>
      </w:r>
    </w:p>
    <w:p>
      <w:pPr>
        <w:pStyle w:val="Heading1"/>
        <w:shd w:fill="1A6B3A" w:val="clear"/>
        <w:spacing w:after="100" w:before="320"/>
        <w:ind w:left="160" w:right="160"/>
      </w:pPr>
      <w:r>
        <w:rPr>
          <w:b/>
          <w:bCs/>
          <w:color w:val="FFFFFF"/>
          <w:sz w:val="30"/>
          <w:szCs w:val="30"/>
        </w:rPr>
        <w:t xml:space="preserve">4. Page Proverbe — Accueil</w:t>
      </w:r>
    </w:p>
    <w:p>
      <w:pPr>
        <w:spacing w:after="60" w:before="50"/>
        <w:jc w:val="both"/>
      </w:pPr>
      <w:r>
        <w:rPr>
          <w:color w:val="1A1A1A"/>
          <w:sz w:val="20"/>
          <w:szCs w:val="20"/>
        </w:rPr>
        <w:t xml:space="preserve">La page Proverbe est l'écran d'accueil affiché à chaque ouverture de l'app. Elle combine contenu éditorial et données patrimoniales.</w:t>
      </w:r>
    </w:p>
    <w:p>
      <w:pPr>
        <w:spacing w:after="50" w:before="50"/>
      </w:pPr>
    </w:p>
    <w:p>
      <w:pPr>
        <w:pStyle w:val="Heading2"/>
        <w:pBdr>
          <w:bottom w:val="single" w:color="C6E5D1" w:sz="6" w:space="4"/>
        </w:pBdr>
        <w:spacing w:after="60" w:before="260"/>
      </w:pPr>
      <w:r>
        <w:rPr>
          <w:b/>
          <w:bCs/>
          <w:color w:val="1A6B3A"/>
          <w:sz w:val="26"/>
          <w:szCs w:val="26"/>
        </w:rPr>
        <w:t xml:space="preserve">4.1 En-tête personnalisé</w:t>
      </w:r>
    </w:p>
    <w:p>
      <w:pPr>
        <w:spacing w:after="60" w:before="50"/>
        <w:jc w:val="both"/>
      </w:pPr>
      <w:r>
        <w:rPr>
          <w:color w:val="1A1A1A"/>
          <w:sz w:val="20"/>
          <w:szCs w:val="20"/>
        </w:rPr>
        <w:t xml:space="preserve">Affiche "Bonjour, [prénom] !" avec la date du jour (format long, en français). Si le prénom n'est pas renseigné, le début de l'adresse email est utilisé. Une pastille affiche le patrimoine total (ou « •••• DH » en mode discret). Un bouton cliquable montre la répartition par grande classe en pourcentage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2400"/>
            <w:shd w:fill="1A6B3A" w:val="clear"/>
          </w:tcPr>
          <w:p>
            <w:pPr>
              <w:spacing w:after="30" w:before="30"/>
              <w:jc w:val="center"/>
            </w:pPr>
            <w:r>
              <w:rPr>
                <w:b/>
                <w:bCs/>
                <w:color w:val="FFFFFF"/>
                <w:sz w:val="17"/>
                <w:szCs w:val="17"/>
              </w:rPr>
              <w:t xml:space="preserve">Classe affichée</w:t>
            </w:r>
          </w:p>
        </w:tc>
        <w:tc>
          <w:tcPr>
            <w:tcW w:type="dxa" w:w="5400"/>
            <w:shd w:fill="1A6B3A" w:val="clear"/>
          </w:tcPr>
          <w:p>
            <w:pPr>
              <w:spacing w:after="30" w:before="30"/>
              <w:jc w:val="center"/>
            </w:pPr>
            <w:r>
              <w:rPr>
                <w:b/>
                <w:bCs/>
                <w:color w:val="FFFFFF"/>
                <w:sz w:val="17"/>
                <w:szCs w:val="17"/>
              </w:rPr>
              <w:t xml:space="preserve">Catégories regroupées</w:t>
            </w:r>
          </w:p>
        </w:tc>
      </w:tr>
      <w:tr>
        <w:tc>
          <w:tcPr>
            <w:tcW w:type="dxa" w:w="2400"/>
            <w:shd w:fill="FFFFFF" w:val="clear"/>
          </w:tcPr>
          <w:p>
            <w:pPr>
              <w:spacing w:after="28" w:before="28"/>
              <w:ind w:left="60"/>
            </w:pPr>
            <w:r>
              <w:rPr>
                <w:color w:val="1A1A1A"/>
                <w:sz w:val="17"/>
                <w:szCs w:val="17"/>
              </w:rPr>
              <w:t xml:space="preserve">Financier</w:t>
            </w:r>
          </w:p>
        </w:tc>
        <w:tc>
          <w:tcPr>
            <w:tcW w:type="dxa" w:w="5400"/>
            <w:shd w:fill="FFFFFF" w:val="clear"/>
          </w:tcPr>
          <w:p>
            <w:pPr>
              <w:spacing w:after="28" w:before="28"/>
              <w:ind w:left="60"/>
            </w:pPr>
            <w:r>
              <w:rPr>
                <w:color w:val="1A1A1A"/>
                <w:sz w:val="17"/>
                <w:szCs w:val="17"/>
              </w:rPr>
              <w:t xml:space="preserve">PEA + Compte-Titre</w:t>
            </w:r>
          </w:p>
        </w:tc>
      </w:tr>
      <w:tr>
        <w:tc>
          <w:tcPr>
            <w:tcW w:type="dxa" w:w="2400"/>
            <w:shd w:fill="F4F4F4" w:val="clear"/>
          </w:tcPr>
          <w:p>
            <w:pPr>
              <w:spacing w:after="28" w:before="28"/>
              <w:ind w:left="60"/>
            </w:pPr>
            <w:r>
              <w:rPr>
                <w:color w:val="1A1A1A"/>
                <w:sz w:val="17"/>
                <w:szCs w:val="17"/>
              </w:rPr>
              <w:t xml:space="preserve">Liquidité</w:t>
            </w:r>
          </w:p>
        </w:tc>
        <w:tc>
          <w:tcPr>
            <w:tcW w:type="dxa" w:w="5400"/>
            <w:shd w:fill="F4F4F4" w:val="clear"/>
          </w:tcPr>
          <w:p>
            <w:pPr>
              <w:spacing w:after="28" w:before="28"/>
              <w:ind w:left="60"/>
            </w:pPr>
            <w:r>
              <w:rPr>
                <w:color w:val="1A1A1A"/>
                <w:sz w:val="17"/>
                <w:szCs w:val="17"/>
              </w:rPr>
              <w:t xml:space="preserve">Argent liquide + Banque + Carnet</w:t>
            </w:r>
          </w:p>
        </w:tc>
      </w:tr>
      <w:tr>
        <w:tc>
          <w:tcPr>
            <w:tcW w:type="dxa" w:w="2400"/>
            <w:shd w:fill="FFFFFF" w:val="clear"/>
          </w:tcPr>
          <w:p>
            <w:pPr>
              <w:spacing w:after="28" w:before="28"/>
              <w:ind w:left="60"/>
            </w:pPr>
            <w:r>
              <w:rPr>
                <w:color w:val="1A1A1A"/>
                <w:sz w:val="17"/>
                <w:szCs w:val="17"/>
              </w:rPr>
              <w:t xml:space="preserve">Immo</w:t>
            </w:r>
          </w:p>
        </w:tc>
        <w:tc>
          <w:tcPr>
            <w:tcW w:type="dxa" w:w="5400"/>
            <w:shd w:fill="FFFFFF" w:val="clear"/>
          </w:tcPr>
          <w:p>
            <w:pPr>
              <w:spacing w:after="28" w:before="28"/>
              <w:ind w:left="60"/>
            </w:pPr>
            <w:r>
              <w:rPr>
                <w:color w:val="1A1A1A"/>
                <w:sz w:val="17"/>
                <w:szCs w:val="17"/>
              </w:rPr>
              <w:t xml:space="preserve">Immobilier &amp; Terrains</w:t>
            </w:r>
          </w:p>
        </w:tc>
      </w:tr>
      <w:tr>
        <w:tc>
          <w:tcPr>
            <w:tcW w:type="dxa" w:w="2400"/>
            <w:shd w:fill="F4F4F4" w:val="clear"/>
          </w:tcPr>
          <w:p>
            <w:pPr>
              <w:spacing w:after="28" w:before="28"/>
              <w:ind w:left="60"/>
            </w:pPr>
            <w:r>
              <w:rPr>
                <w:color w:val="1A1A1A"/>
                <w:sz w:val="17"/>
                <w:szCs w:val="17"/>
              </w:rPr>
              <w:t xml:space="preserve">Or &amp; MP</w:t>
            </w:r>
          </w:p>
        </w:tc>
        <w:tc>
          <w:tcPr>
            <w:tcW w:type="dxa" w:w="5400"/>
            <w:shd w:fill="F4F4F4" w:val="clear"/>
          </w:tcPr>
          <w:p>
            <w:pPr>
              <w:spacing w:after="28" w:before="28"/>
              <w:ind w:left="60"/>
            </w:pPr>
            <w:r>
              <w:rPr>
                <w:color w:val="1A1A1A"/>
                <w:sz w:val="17"/>
                <w:szCs w:val="17"/>
              </w:rPr>
              <w:t xml:space="preserve">Or &amp; Métaux Précieux</w:t>
            </w:r>
          </w:p>
        </w:tc>
      </w:tr>
      <w:tr>
        <w:tc>
          <w:tcPr>
            <w:tcW w:type="dxa" w:w="2400"/>
            <w:shd w:fill="FFFFFF" w:val="clear"/>
          </w:tcPr>
          <w:p>
            <w:pPr>
              <w:spacing w:after="28" w:before="28"/>
              <w:ind w:left="60"/>
            </w:pPr>
            <w:r>
              <w:rPr>
                <w:color w:val="1A1A1A"/>
                <w:sz w:val="17"/>
                <w:szCs w:val="17"/>
              </w:rPr>
              <w:t xml:space="preserve">Transport</w:t>
            </w:r>
          </w:p>
        </w:tc>
        <w:tc>
          <w:tcPr>
            <w:tcW w:type="dxa" w:w="5400"/>
            <w:shd w:fill="FFFFFF" w:val="clear"/>
          </w:tcPr>
          <w:p>
            <w:pPr>
              <w:spacing w:after="28" w:before="28"/>
              <w:ind w:left="60"/>
            </w:pPr>
            <w:r>
              <w:rPr>
                <w:color w:val="1A1A1A"/>
                <w:sz w:val="17"/>
                <w:szCs w:val="17"/>
              </w:rPr>
              <w:t xml:space="preserve">Biens de Transport</w:t>
            </w:r>
          </w:p>
        </w:tc>
      </w:tr>
    </w:tbl>
    <w:p>
      <w:pPr>
        <w:spacing w:after="50" w:before="50"/>
      </w:pPr>
    </w:p>
    <w:p>
      <w:pPr>
        <w:spacing w:after="60" w:before="50"/>
        <w:jc w:val="both"/>
      </w:pPr>
      <w:r>
        <w:rPr>
          <w:color w:val="1A1A1A"/>
          <w:sz w:val="20"/>
          <w:szCs w:val="20"/>
        </w:rPr>
        <w:t xml:space="preserve">Un appui sur cette zone navigue vers le Tableau de bord.</w:t>
      </w:r>
    </w:p>
    <w:p>
      <w:pPr>
        <w:pStyle w:val="Heading2"/>
        <w:pBdr>
          <w:bottom w:val="single" w:color="C6E5D1" w:sz="6" w:space="4"/>
        </w:pBdr>
        <w:spacing w:after="60" w:before="260"/>
      </w:pPr>
      <w:r>
        <w:rPr>
          <w:b/>
          <w:bCs/>
          <w:color w:val="1A6B3A"/>
          <w:sz w:val="26"/>
          <w:szCs w:val="26"/>
        </w:rPr>
        <w:t xml:space="preserve">4.2 Proverbe du Jour</w:t>
      </w:r>
    </w:p>
    <w:p>
      <w:pPr>
        <w:spacing w:after="60" w:before="50"/>
        <w:jc w:val="both"/>
      </w:pPr>
      <w:r>
        <w:rPr>
          <w:color w:val="1A1A1A"/>
          <w:sz w:val="20"/>
          <w:szCs w:val="20"/>
        </w:rPr>
        <w:t xml:space="preserve">Un proverbe est sélectionné chaque jour selon le numéro du jour dans l'année (modulo le nombre de proverbes disponibles). Chaque proverbe comporte : le texte de la citation, le nom et la description de son auteur, et un commentaire « PatriMoi dit : » qui relie le proverbe à un concept de gestion patrimoniale.</w:t>
      </w:r>
    </w:p>
    <w:p>
      <w:pPr>
        <w:pBdr>
          <w:left w:val="single" w:color="1A6B3A" w:sz="14" w:space="10"/>
        </w:pBdr>
        <w:shd w:fill="E8F5EE" w:val="clear"/>
        <w:spacing w:after="70" w:before="70"/>
        <w:ind w:left="200"/>
      </w:pPr>
      <w:r>
        <w:rPr>
          <w:i/>
          <w:iCs/>
          <w:color w:val="1A1A1A"/>
          <w:sz w:val="18"/>
          <w:szCs w:val="18"/>
        </w:rPr>
        <w:t xml:space="preserve">Le cycle est annuel. Un utilisateur qui ouvre l'app le même jour voit toujours le même proverbe.</w:t>
      </w:r>
    </w:p>
    <w:p>
      <w:pPr>
        <w:pStyle w:val="Heading2"/>
        <w:pBdr>
          <w:bottom w:val="single" w:color="C6E5D1" w:sz="6" w:space="4"/>
        </w:pBdr>
        <w:spacing w:after="60" w:before="260"/>
      </w:pPr>
      <w:r>
        <w:rPr>
          <w:b/>
          <w:bCs/>
          <w:color w:val="1A6B3A"/>
          <w:sz w:val="26"/>
          <w:szCs w:val="26"/>
        </w:rPr>
        <w:t xml:space="preserve">4.3 Contenu éditorial (placeholder — à réviser avant soumission)</w:t>
      </w:r>
    </w:p>
    <w:p>
      <w:pPr>
        <w:spacing w:after="60" w:before="50"/>
        <w:jc w:val="both"/>
      </w:pPr>
      <w:r>
        <w:rPr>
          <w:color w:val="1A1A1A"/>
          <w:sz w:val="20"/>
          <w:szCs w:val="20"/>
        </w:rPr>
        <w:t xml:space="preserve">La page affiche trois témoignages hardcodés (Rachid M. — Casablanca, Sara B. — Rabat, Karim A. — Marrakech) et un compteur "+12 400 utilisateurs actifs". Ces données sont fictives et codées en dur — elles ne proviennent pas d'une source réelle.</w:t>
      </w:r>
    </w:p>
    <w:p>
      <w:pPr>
        <w:pBdr>
          <w:left w:val="single" w:color="E08000" w:sz="14" w:space="10"/>
        </w:pBdr>
        <w:shd w:fill="FFF3E0" w:val="clear"/>
        <w:spacing w:after="70" w:before="70"/>
        <w:ind w:left="200"/>
      </w:pPr>
      <w:r>
        <w:rPr>
          <w:i/>
          <w:iCs/>
          <w:color w:val="1A1A1A"/>
          <w:sz w:val="18"/>
          <w:szCs w:val="18"/>
        </w:rPr>
        <w:t xml:space="preserve">⚠ Non conforme App Store guideline 2.3.1 (Accurate Metadata). Ces éléments doivent être supprimés ou remplacés par des données réelles avant la soumission. Le bouton "Voir tous les avis" pointe vers https://apps.apple.com/app/patrimoi qui n'existe pas encore — il affiche un Alert "Bientôt disponible" en fallback.</w:t>
      </w:r>
    </w:p>
    <w:p>
      <w:r>
        <w:br w:type="page"/>
      </w:r>
    </w:p>
    <w:p>
      <w:pPr>
        <w:pStyle w:val="Heading1"/>
        <w:shd w:fill="1A6B3A" w:val="clear"/>
        <w:spacing w:after="100" w:before="320"/>
        <w:ind w:left="160" w:right="160"/>
      </w:pPr>
      <w:r>
        <w:rPr>
          <w:b/>
          <w:bCs/>
          <w:color w:val="FFFFFF"/>
          <w:sz w:val="30"/>
          <w:szCs w:val="30"/>
        </w:rPr>
        <w:t xml:space="preserve">5. Les 8 catégories d'actifs</w:t>
      </w:r>
    </w:p>
    <w:p>
      <w:pPr>
        <w:spacing w:after="60" w:before="50"/>
        <w:jc w:val="both"/>
      </w:pPr>
      <w:r>
        <w:rPr>
          <w:color w:val="1A1A1A"/>
          <w:sz w:val="20"/>
          <w:szCs w:val="20"/>
        </w:rPr>
        <w:t xml:space="preserve">Toutes les catégories sont accessibles depuis la page "Mes actifs". Chaque entrée peut être modifiée, supprimée, et pour certaines catégories, consultée en détail. Les modifications déclenchent immédiatement une mise à jour du patrimoine total et un snapshot journalier.</w:t>
      </w:r>
    </w:p>
    <w:p>
      <w:pPr>
        <w:spacing w:after="50" w:before="50"/>
      </w:pPr>
    </w:p>
    <w:p>
      <w:pPr>
        <w:pStyle w:val="Heading2"/>
        <w:pBdr>
          <w:bottom w:val="single" w:color="C6E5D1" w:sz="6" w:space="4"/>
        </w:pBdr>
        <w:spacing w:after="60" w:before="260"/>
      </w:pPr>
      <w:r>
        <w:rPr>
          <w:b/>
          <w:bCs/>
          <w:color w:val="1A6B3A"/>
          <w:sz w:val="26"/>
          <w:szCs w:val="26"/>
        </w:rPr>
        <w:t xml:space="preserve">5.1 Argent liquide &amp; Devises</w:t>
      </w:r>
    </w:p>
    <w:p>
      <w:pPr>
        <w:spacing w:after="60" w:before="50"/>
        <w:jc w:val="both"/>
      </w:pPr>
      <w:r>
        <w:rPr>
          <w:color w:val="1A1A1A"/>
          <w:sz w:val="20"/>
          <w:szCs w:val="20"/>
        </w:rPr>
        <w:t xml:space="preserve">Deux sous-sections : cash en dirhams (montant direct), et devises étrangères. Pour chaque devise : code, nom, quantité détenue, taux de change en vigueur. Si la même devise est ajoutée deux fois, les quantités sont automatiquement cumulées (aucun doublon créé).</w:t>
      </w:r>
    </w:p>
    <w:p>
      <w:pPr>
        <w:spacing w:after="60" w:before="50"/>
        <w:jc w:val="both"/>
      </w:pPr>
      <w:r>
        <w:rPr>
          <w:color w:val="1A1A1A"/>
          <w:sz w:val="20"/>
          <w:szCs w:val="20"/>
        </w:rPr>
        <w:t xml:space="preserve">18 devises prises en charge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1600"/>
            <w:shd w:fill="1A6B3A" w:val="clear"/>
          </w:tcPr>
          <w:p>
            <w:pPr>
              <w:spacing w:after="30" w:before="30"/>
              <w:jc w:val="center"/>
            </w:pPr>
            <w:r>
              <w:rPr>
                <w:b/>
                <w:bCs/>
                <w:color w:val="FFFFFF"/>
                <w:sz w:val="17"/>
                <w:szCs w:val="17"/>
              </w:rPr>
              <w:t xml:space="preserve">Zone</w:t>
            </w:r>
          </w:p>
        </w:tc>
        <w:tc>
          <w:tcPr>
            <w:tcW w:type="dxa" w:w="6200"/>
            <w:shd w:fill="1A6B3A" w:val="clear"/>
          </w:tcPr>
          <w:p>
            <w:pPr>
              <w:spacing w:after="30" w:before="30"/>
              <w:jc w:val="center"/>
            </w:pPr>
            <w:r>
              <w:rPr>
                <w:b/>
                <w:bCs/>
                <w:color w:val="FFFFFF"/>
                <w:sz w:val="17"/>
                <w:szCs w:val="17"/>
              </w:rPr>
              <w:t xml:space="preserve">Devises</w:t>
            </w:r>
          </w:p>
        </w:tc>
      </w:tr>
      <w:tr>
        <w:tc>
          <w:tcPr>
            <w:tcW w:type="dxa" w:w="1600"/>
            <w:shd w:fill="FFFFFF" w:val="clear"/>
          </w:tcPr>
          <w:p>
            <w:pPr>
              <w:spacing w:after="28" w:before="28"/>
              <w:ind w:left="60"/>
            </w:pPr>
            <w:r>
              <w:rPr>
                <w:color w:val="1A1A1A"/>
                <w:sz w:val="17"/>
                <w:szCs w:val="17"/>
              </w:rPr>
              <w:t xml:space="preserve">Europe</w:t>
            </w:r>
          </w:p>
        </w:tc>
        <w:tc>
          <w:tcPr>
            <w:tcW w:type="dxa" w:w="6200"/>
            <w:shd w:fill="FFFFFF" w:val="clear"/>
          </w:tcPr>
          <w:p>
            <w:pPr>
              <w:spacing w:after="28" w:before="28"/>
              <w:ind w:left="60"/>
            </w:pPr>
            <w:r>
              <w:rPr>
                <w:color w:val="1A1A1A"/>
                <w:sz w:val="17"/>
                <w:szCs w:val="17"/>
              </w:rPr>
              <w:t xml:space="preserve">EUR (Euro), GBP (Livre Sterling), CHF (Franc Suisse), SEK (Couronne Suédoise), NOK (Couronne Norvégienne)</w:t>
            </w:r>
          </w:p>
        </w:tc>
      </w:tr>
      <w:tr>
        <w:tc>
          <w:tcPr>
            <w:tcW w:type="dxa" w:w="1600"/>
            <w:shd w:fill="F4F4F4" w:val="clear"/>
          </w:tcPr>
          <w:p>
            <w:pPr>
              <w:spacing w:after="28" w:before="28"/>
              <w:ind w:left="60"/>
            </w:pPr>
            <w:r>
              <w:rPr>
                <w:color w:val="1A1A1A"/>
                <w:sz w:val="17"/>
                <w:szCs w:val="17"/>
              </w:rPr>
              <w:t xml:space="preserve">Amériques</w:t>
            </w:r>
          </w:p>
        </w:tc>
        <w:tc>
          <w:tcPr>
            <w:tcW w:type="dxa" w:w="6200"/>
            <w:shd w:fill="F4F4F4" w:val="clear"/>
          </w:tcPr>
          <w:p>
            <w:pPr>
              <w:spacing w:after="28" w:before="28"/>
              <w:ind w:left="60"/>
            </w:pPr>
            <w:r>
              <w:rPr>
                <w:color w:val="1A1A1A"/>
                <w:sz w:val="17"/>
                <w:szCs w:val="17"/>
              </w:rPr>
              <w:t xml:space="preserve">USD (Dollar US), CAD (Dollar Canadien), AUD (Dollar Australien)</w:t>
            </w:r>
          </w:p>
        </w:tc>
      </w:tr>
      <w:tr>
        <w:tc>
          <w:tcPr>
            <w:tcW w:type="dxa" w:w="1600"/>
            <w:shd w:fill="FFFFFF" w:val="clear"/>
          </w:tcPr>
          <w:p>
            <w:pPr>
              <w:spacing w:after="28" w:before="28"/>
              <w:ind w:left="60"/>
            </w:pPr>
            <w:r>
              <w:rPr>
                <w:color w:val="1A1A1A"/>
                <w:sz w:val="17"/>
                <w:szCs w:val="17"/>
              </w:rPr>
              <w:t xml:space="preserve">Golfe / MENA</w:t>
            </w:r>
          </w:p>
        </w:tc>
        <w:tc>
          <w:tcPr>
            <w:tcW w:type="dxa" w:w="6200"/>
            <w:shd w:fill="FFFFFF" w:val="clear"/>
          </w:tcPr>
          <w:p>
            <w:pPr>
              <w:spacing w:after="28" w:before="28"/>
              <w:ind w:left="60"/>
            </w:pPr>
            <w:r>
              <w:rPr>
                <w:color w:val="1A1A1A"/>
                <w:sz w:val="17"/>
                <w:szCs w:val="17"/>
              </w:rPr>
              <w:t xml:space="preserve">AED (Dirham EAU), SAR (Riyal Saoudien), QAR (Riyal Qatari), KWD (Dinar Koweïtien), EGP (Livre Égyptienne), TND (Dinar Tunisien), DZD (Dinar Algérien)</w:t>
            </w:r>
          </w:p>
        </w:tc>
      </w:tr>
      <w:tr>
        <w:tc>
          <w:tcPr>
            <w:tcW w:type="dxa" w:w="1600"/>
            <w:shd w:fill="F4F4F4" w:val="clear"/>
          </w:tcPr>
          <w:p>
            <w:pPr>
              <w:spacing w:after="28" w:before="28"/>
              <w:ind w:left="60"/>
            </w:pPr>
            <w:r>
              <w:rPr>
                <w:color w:val="1A1A1A"/>
                <w:sz w:val="17"/>
                <w:szCs w:val="17"/>
              </w:rPr>
              <w:t xml:space="preserve">Asie</w:t>
            </w:r>
          </w:p>
        </w:tc>
        <w:tc>
          <w:tcPr>
            <w:tcW w:type="dxa" w:w="6200"/>
            <w:shd w:fill="F4F4F4" w:val="clear"/>
          </w:tcPr>
          <w:p>
            <w:pPr>
              <w:spacing w:after="28" w:before="28"/>
              <w:ind w:left="60"/>
            </w:pPr>
            <w:r>
              <w:rPr>
                <w:color w:val="1A1A1A"/>
                <w:sz w:val="17"/>
                <w:szCs w:val="17"/>
              </w:rPr>
              <w:t xml:space="preserve">JPY (Yen Japonais), CNY (Yuan Chinois), TRY (Livre Turque)</w:t>
            </w:r>
          </w:p>
        </w:tc>
      </w:tr>
    </w:tbl>
    <w:p>
      <w:pPr>
        <w:pStyle w:val="Heading2"/>
        <w:pBdr>
          <w:bottom w:val="single" w:color="C6E5D1" w:sz="6" w:space="4"/>
        </w:pBdr>
        <w:spacing w:after="60" w:before="260"/>
      </w:pPr>
      <w:r>
        <w:rPr>
          <w:b/>
          <w:bCs/>
          <w:color w:val="1A6B3A"/>
          <w:sz w:val="26"/>
          <w:szCs w:val="26"/>
        </w:rPr>
        <w:t xml:space="preserve">5.2 Argent en banque</w:t>
      </w:r>
    </w:p>
    <w:p>
      <w:pPr>
        <w:spacing w:after="60" w:before="50"/>
        <w:jc w:val="both"/>
      </w:pPr>
      <w:r>
        <w:rPr>
          <w:color w:val="1A1A1A"/>
          <w:sz w:val="20"/>
          <w:szCs w:val="20"/>
        </w:rPr>
        <w:t xml:space="preserve">Liste de comptes bancaires (nom de la banque, type de compte, solde). Saisie manuelle. Pas de connexion aux établissements bancaires.</w:t>
      </w:r>
    </w:p>
    <w:p>
      <w:pPr>
        <w:pStyle w:val="Heading2"/>
        <w:pBdr>
          <w:bottom w:val="single" w:color="C6E5D1" w:sz="6" w:space="4"/>
        </w:pBdr>
        <w:spacing w:after="60" w:before="260"/>
      </w:pPr>
      <w:r>
        <w:rPr>
          <w:b/>
          <w:bCs/>
          <w:color w:val="1A6B3A"/>
          <w:sz w:val="26"/>
          <w:szCs w:val="26"/>
        </w:rPr>
        <w:t xml:space="preserve">5.3 Compte sur Carnet</w:t>
      </w:r>
    </w:p>
    <w:p>
      <w:pPr>
        <w:spacing w:after="60" w:before="50"/>
        <w:jc w:val="both"/>
      </w:pPr>
      <w:r>
        <w:rPr>
          <w:color w:val="1A1A1A"/>
          <w:sz w:val="20"/>
          <w:szCs w:val="20"/>
        </w:rPr>
        <w:t xml:space="preserve">Liste de carnets d'épargne (banque, solde, taux annuel). Chaque carnet peut comporter un rappel de versement (montant suggéré, fréquence, prochaine date).</w:t>
      </w:r>
    </w:p>
    <w:p>
      <w:pPr>
        <w:pStyle w:val="Heading2"/>
        <w:pBdr>
          <w:bottom w:val="single" w:color="C6E5D1" w:sz="6" w:space="4"/>
        </w:pBdr>
        <w:spacing w:after="60" w:before="260"/>
      </w:pPr>
      <w:r>
        <w:rPr>
          <w:b/>
          <w:bCs/>
          <w:color w:val="1A6B3A"/>
          <w:sz w:val="26"/>
          <w:szCs w:val="26"/>
        </w:rPr>
        <w:t xml:space="preserve">5.4 Compte PEA</w:t>
      </w:r>
    </w:p>
    <w:p>
      <w:pPr>
        <w:spacing w:after="60" w:before="50"/>
        <w:jc w:val="both"/>
      </w:pPr>
      <w:r>
        <w:rPr>
          <w:color w:val="1A1A1A"/>
          <w:sz w:val="20"/>
          <w:szCs w:val="20"/>
        </w:rPr>
        <w:t xml:space="preserve">Liste de titres boursiers. Pour chaque titre : ticker BVC, nom, prix de revient unitaire (PRU), cours actuel, quantité. Le cours est mis à jour automatiquement depuis le cache BVC.</w:t>
      </w:r>
    </w:p>
    <w:p>
      <w:pPr>
        <w:spacing w:after="60" w:before="50"/>
        <w:jc w:val="both"/>
      </w:pPr>
      <w:r>
        <w:rPr>
          <w:color w:val="1A1A1A"/>
          <w:sz w:val="20"/>
          <w:szCs w:val="20"/>
        </w:rPr>
        <w:t xml:space="preserve">La saisie du ticker est assistée par un champ d'autocomplete proposant les 75 valeurs de la Bourse de Casablanca (banques, assurances, télécoms, énergie, ciment, mines, agroalimentaire, transport, santé, immobilier, industrie). La sélection d'un ticker remplit automatiquement le cours depuis le cache BVC disponible.</w:t>
      </w:r>
    </w:p>
    <w:p>
      <w:pPr>
        <w:spacing w:after="60" w:before="50"/>
        <w:jc w:val="both"/>
      </w:pPr>
      <w:r>
        <w:rPr>
          <w:color w:val="1A1A1A"/>
          <w:sz w:val="20"/>
          <w:szCs w:val="20"/>
        </w:rPr>
        <w:t xml:space="preserve">La date d'achat peut être saisie (format JJ/MM/AAAA). Elle est utilisée pour calculer la durée de détention en mois, qui déclenche les alertes d'approche de l'exonération fiscale (48–59 mois = alerte, &gt;= 60 mois = titre exonéré).</w:t>
      </w:r>
    </w:p>
    <w:p>
      <w:pPr>
        <w:pStyle w:val="Heading2"/>
        <w:pBdr>
          <w:bottom w:val="single" w:color="C6E5D1" w:sz="6" w:space="4"/>
        </w:pBdr>
        <w:spacing w:after="60" w:before="260"/>
      </w:pPr>
      <w:r>
        <w:rPr>
          <w:b/>
          <w:bCs/>
          <w:color w:val="1A6B3A"/>
          <w:sz w:val="26"/>
          <w:szCs w:val="26"/>
        </w:rPr>
        <w:t xml:space="preserve">5.5 Compte-Titre Ordinaire</w:t>
      </w:r>
    </w:p>
    <w:p>
      <w:pPr>
        <w:spacing w:after="60" w:before="50"/>
        <w:jc w:val="both"/>
      </w:pPr>
      <w:r>
        <w:rPr>
          <w:color w:val="1A1A1A"/>
          <w:sz w:val="20"/>
          <w:szCs w:val="20"/>
        </w:rPr>
        <w:t xml:space="preserve">Deux sous-catégories : Actions (mêmes champs que le PEA, sans contrainte de plafond ni d'exonération), et OPCVM (code du fonds, nom, valeur liquidative, nombre de parts, type de fonds, valeur liquidative d'acquisition).</w:t>
      </w:r>
    </w:p>
    <w:p>
      <w:pPr>
        <w:pBdr>
          <w:left w:val="single" w:color="1A6B3A" w:sz="14" w:space="10"/>
        </w:pBdr>
        <w:shd w:fill="E8F5EE" w:val="clear"/>
        <w:spacing w:after="70" w:before="70"/>
        <w:ind w:left="200"/>
      </w:pPr>
      <w:r>
        <w:rPr>
          <w:i/>
          <w:iCs/>
          <w:color w:val="1A1A1A"/>
          <w:sz w:val="18"/>
          <w:szCs w:val="18"/>
        </w:rPr>
        <w:t xml:space="preserve">La valeur liquidative des OPCVM est saisie manuellement — il n'existe pas de flux automatique pour les fonds marocains dans l'app.</w:t>
      </w:r>
    </w:p>
    <w:p>
      <w:pPr>
        <w:pStyle w:val="Heading2"/>
        <w:pBdr>
          <w:bottom w:val="single" w:color="C6E5D1" w:sz="6" w:space="4"/>
        </w:pBdr>
        <w:spacing w:after="60" w:before="260"/>
      </w:pPr>
      <w:r>
        <w:rPr>
          <w:b/>
          <w:bCs/>
          <w:color w:val="1A6B3A"/>
          <w:sz w:val="26"/>
          <w:szCs w:val="26"/>
        </w:rPr>
        <w:t xml:space="preserve">5.6 Or et Métaux Précieux</w:t>
      </w:r>
    </w:p>
    <w:p>
      <w:pPr>
        <w:spacing w:after="60" w:before="50"/>
        <w:jc w:val="both"/>
      </w:pPr>
      <w:r>
        <w:rPr>
          <w:color w:val="1A1A1A"/>
          <w:sz w:val="20"/>
          <w:szCs w:val="20"/>
        </w:rPr>
        <w:t xml:space="preserve">Liste de lots (nom, quantité en grammes, prix d'achat, et optionnellement un prix offert reçu). La valorisation retient le maximum entre : quantité × prix marché actuel, et prix offert si renseigné.</w:t>
      </w:r>
    </w:p>
    <w:p>
      <w:pPr>
        <w:pStyle w:val="Heading2"/>
        <w:pBdr>
          <w:bottom w:val="single" w:color="C6E5D1" w:sz="6" w:space="4"/>
        </w:pBdr>
        <w:spacing w:after="60" w:before="260"/>
      </w:pPr>
      <w:r>
        <w:rPr>
          <w:b/>
          <w:bCs/>
          <w:color w:val="1A6B3A"/>
          <w:sz w:val="26"/>
          <w:szCs w:val="26"/>
        </w:rPr>
        <w:t xml:space="preserve">5.7 Immobilier &amp; Terrains</w:t>
      </w:r>
    </w:p>
    <w:p>
      <w:pPr>
        <w:spacing w:after="60" w:before="50"/>
        <w:jc w:val="both"/>
      </w:pPr>
      <w:r>
        <w:rPr>
          <w:color w:val="1A1A1A"/>
          <w:sz w:val="20"/>
          <w:szCs w:val="20"/>
        </w:rPr>
        <w:t xml:space="preserve">Liste de biens. Champs : nom, type (bien bâti ou terrain), ville, surface (m² ou ha), prix d'achat, année d'achat, prix au m² estimé, prix offert reçu (optionnel), méthode de valorisation (estimatif ou offert). La méthode "offert" retient le prix offert si renseigné ; la méthode "estimatif" calcule : prix/m² × surface.</w:t>
      </w:r>
    </w:p>
    <w:p>
      <w:pPr>
        <w:pStyle w:val="Heading2"/>
        <w:pBdr>
          <w:bottom w:val="single" w:color="C6E5D1" w:sz="6" w:space="4"/>
        </w:pBdr>
        <w:spacing w:after="60" w:before="260"/>
      </w:pPr>
      <w:r>
        <w:rPr>
          <w:b/>
          <w:bCs/>
          <w:color w:val="1A6B3A"/>
          <w:sz w:val="26"/>
          <w:szCs w:val="26"/>
        </w:rPr>
        <w:t xml:space="preserve">5.8 Biens de Transport</w:t>
      </w:r>
    </w:p>
    <w:p>
      <w:pPr>
        <w:spacing w:after="60" w:before="50"/>
        <w:jc w:val="both"/>
      </w:pPr>
      <w:r>
        <w:rPr>
          <w:color w:val="1A1A1A"/>
          <w:sz w:val="20"/>
          <w:szCs w:val="20"/>
        </w:rPr>
        <w:t xml:space="preserve">Liste de véhicules. Champs : nom, type (Voiture / Moto / Camion / Autre), année, prix d'achat, valeur estimée, prix offert (optionnel), méthode de valorisation. L'app propose automatiquement une valeur dépréciée calculée selon le type et l'ancienneté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gridCol w:w="100"/>
      </w:tblGrid>
      <w:tr>
        <w:trPr>
          <w:tblHeader/>
        </w:trPr>
        <w:tc>
          <w:tcPr>
            <w:tcW w:type="dxa" w:w="2000"/>
            <w:shd w:fill="1A6B3A" w:val="clear"/>
          </w:tcPr>
          <w:p>
            <w:pPr>
              <w:spacing w:after="30" w:before="30"/>
              <w:jc w:val="center"/>
            </w:pPr>
            <w:r>
              <w:rPr>
                <w:b/>
                <w:bCs/>
                <w:color w:val="FFFFFF"/>
                <w:sz w:val="17"/>
                <w:szCs w:val="17"/>
              </w:rPr>
              <w:t xml:space="preserve">Type de véhicule</w:t>
            </w:r>
          </w:p>
        </w:tc>
        <w:tc>
          <w:tcPr>
            <w:tcW w:type="dxa" w:w="2200"/>
            <w:shd w:fill="1A6B3A" w:val="clear"/>
          </w:tcPr>
          <w:p>
            <w:pPr>
              <w:spacing w:after="30" w:before="30"/>
              <w:jc w:val="center"/>
            </w:pPr>
            <w:r>
              <w:rPr>
                <w:b/>
                <w:bCs/>
                <w:color w:val="FFFFFF"/>
                <w:sz w:val="17"/>
                <w:szCs w:val="17"/>
              </w:rPr>
              <w:t xml:space="preserve">Taux de dépréciation annuel</w:t>
            </w:r>
          </w:p>
        </w:tc>
        <w:tc>
          <w:tcPr>
            <w:tcW w:type="dxa" w:w="3600"/>
            <w:shd w:fill="1A6B3A" w:val="clear"/>
          </w:tcPr>
          <w:p>
            <w:pPr>
              <w:spacing w:after="30" w:before="30"/>
              <w:jc w:val="center"/>
            </w:pPr>
            <w:r>
              <w:rPr>
                <w:b/>
                <w:bCs/>
                <w:color w:val="FFFFFF"/>
                <w:sz w:val="17"/>
                <w:szCs w:val="17"/>
              </w:rPr>
              <w:t xml:space="preserve">Formule</w:t>
            </w:r>
          </w:p>
        </w:tc>
      </w:tr>
      <w:tr>
        <w:tc>
          <w:tcPr>
            <w:tcW w:type="dxa" w:w="2000"/>
            <w:shd w:fill="FFFFFF" w:val="clear"/>
          </w:tcPr>
          <w:p>
            <w:pPr>
              <w:spacing w:after="28" w:before="28"/>
              <w:ind w:left="60"/>
            </w:pPr>
            <w:r>
              <w:rPr>
                <w:color w:val="1A1A1A"/>
                <w:sz w:val="17"/>
                <w:szCs w:val="17"/>
              </w:rPr>
              <w:t xml:space="preserve">Voiture</w:t>
            </w:r>
          </w:p>
        </w:tc>
        <w:tc>
          <w:tcPr>
            <w:tcW w:type="dxa" w:w="2200"/>
            <w:shd w:fill="FFFFFF" w:val="clear"/>
          </w:tcPr>
          <w:p>
            <w:pPr>
              <w:spacing w:after="28" w:before="28"/>
              <w:ind w:left="60"/>
            </w:pPr>
            <w:r>
              <w:rPr>
                <w:color w:val="1A1A1A"/>
                <w:sz w:val="17"/>
                <w:szCs w:val="17"/>
              </w:rPr>
              <w:t xml:space="preserve">15%</w:t>
            </w:r>
          </w:p>
        </w:tc>
        <w:tc>
          <w:tcPr>
            <w:tcW w:type="dxa" w:w="3600"/>
            <w:shd w:fill="FFFFFF" w:val="clear"/>
          </w:tcPr>
          <w:p>
            <w:pPr>
              <w:spacing w:after="28" w:before="28"/>
              <w:ind w:left="60"/>
            </w:pPr>
            <w:r>
              <w:rPr>
                <w:color w:val="1A1A1A"/>
                <w:sz w:val="17"/>
                <w:szCs w:val="17"/>
              </w:rPr>
              <w:t xml:space="preserve">Valeur = Prix achat × (1 - 0,15) ^ âge</w:t>
            </w:r>
          </w:p>
        </w:tc>
      </w:tr>
      <w:tr>
        <w:tc>
          <w:tcPr>
            <w:tcW w:type="dxa" w:w="2000"/>
            <w:shd w:fill="F4F4F4" w:val="clear"/>
          </w:tcPr>
          <w:p>
            <w:pPr>
              <w:spacing w:after="28" w:before="28"/>
              <w:ind w:left="60"/>
            </w:pPr>
            <w:r>
              <w:rPr>
                <w:color w:val="1A1A1A"/>
                <w:sz w:val="17"/>
                <w:szCs w:val="17"/>
              </w:rPr>
              <w:t xml:space="preserve">Moto</w:t>
            </w:r>
          </w:p>
        </w:tc>
        <w:tc>
          <w:tcPr>
            <w:tcW w:type="dxa" w:w="2200"/>
            <w:shd w:fill="F4F4F4" w:val="clear"/>
          </w:tcPr>
          <w:p>
            <w:pPr>
              <w:spacing w:after="28" w:before="28"/>
              <w:ind w:left="60"/>
            </w:pPr>
            <w:r>
              <w:rPr>
                <w:color w:val="1A1A1A"/>
                <w:sz w:val="17"/>
                <w:szCs w:val="17"/>
              </w:rPr>
              <w:t xml:space="preserve">12%</w:t>
            </w:r>
          </w:p>
        </w:tc>
        <w:tc>
          <w:tcPr>
            <w:tcW w:type="dxa" w:w="3600"/>
            <w:shd w:fill="F4F4F4" w:val="clear"/>
          </w:tcPr>
          <w:p>
            <w:pPr>
              <w:spacing w:after="28" w:before="28"/>
              <w:ind w:left="60"/>
            </w:pPr>
            <w:r>
              <w:rPr>
                <w:color w:val="1A1A1A"/>
                <w:sz w:val="17"/>
                <w:szCs w:val="17"/>
              </w:rPr>
              <w:t xml:space="preserve">Valeur = Prix achat × (1 - 0,12) ^ âge</w:t>
            </w:r>
          </w:p>
        </w:tc>
      </w:tr>
      <w:tr>
        <w:tc>
          <w:tcPr>
            <w:tcW w:type="dxa" w:w="2000"/>
            <w:shd w:fill="FFFFFF" w:val="clear"/>
          </w:tcPr>
          <w:p>
            <w:pPr>
              <w:spacing w:after="28" w:before="28"/>
              <w:ind w:left="60"/>
            </w:pPr>
            <w:r>
              <w:rPr>
                <w:color w:val="1A1A1A"/>
                <w:sz w:val="17"/>
                <w:szCs w:val="17"/>
              </w:rPr>
              <w:t xml:space="preserve">Camion</w:t>
            </w:r>
          </w:p>
        </w:tc>
        <w:tc>
          <w:tcPr>
            <w:tcW w:type="dxa" w:w="2200"/>
            <w:shd w:fill="FFFFFF" w:val="clear"/>
          </w:tcPr>
          <w:p>
            <w:pPr>
              <w:spacing w:after="28" w:before="28"/>
              <w:ind w:left="60"/>
            </w:pPr>
            <w:r>
              <w:rPr>
                <w:color w:val="1A1A1A"/>
                <w:sz w:val="17"/>
                <w:szCs w:val="17"/>
              </w:rPr>
              <w:t xml:space="preserve">10%</w:t>
            </w:r>
          </w:p>
        </w:tc>
        <w:tc>
          <w:tcPr>
            <w:tcW w:type="dxa" w:w="3600"/>
            <w:shd w:fill="FFFFFF" w:val="clear"/>
          </w:tcPr>
          <w:p>
            <w:pPr>
              <w:spacing w:after="28" w:before="28"/>
              <w:ind w:left="60"/>
            </w:pPr>
            <w:r>
              <w:rPr>
                <w:color w:val="1A1A1A"/>
                <w:sz w:val="17"/>
                <w:szCs w:val="17"/>
              </w:rPr>
              <w:t xml:space="preserve">Valeur = Prix achat × (1 - 0,10) ^ âge</w:t>
            </w:r>
          </w:p>
        </w:tc>
      </w:tr>
      <w:tr>
        <w:tc>
          <w:tcPr>
            <w:tcW w:type="dxa" w:w="2000"/>
            <w:shd w:fill="F4F4F4" w:val="clear"/>
          </w:tcPr>
          <w:p>
            <w:pPr>
              <w:spacing w:after="28" w:before="28"/>
              <w:ind w:left="60"/>
            </w:pPr>
            <w:r>
              <w:rPr>
                <w:color w:val="1A1A1A"/>
                <w:sz w:val="17"/>
                <w:szCs w:val="17"/>
              </w:rPr>
              <w:t xml:space="preserve">Autre</w:t>
            </w:r>
          </w:p>
        </w:tc>
        <w:tc>
          <w:tcPr>
            <w:tcW w:type="dxa" w:w="2200"/>
            <w:shd w:fill="F4F4F4" w:val="clear"/>
          </w:tcPr>
          <w:p>
            <w:pPr>
              <w:spacing w:after="28" w:before="28"/>
              <w:ind w:left="60"/>
            </w:pPr>
            <w:r>
              <w:rPr>
                <w:color w:val="1A1A1A"/>
                <w:sz w:val="17"/>
                <w:szCs w:val="17"/>
              </w:rPr>
              <w:t xml:space="preserve">10%</w:t>
            </w:r>
          </w:p>
        </w:tc>
        <w:tc>
          <w:tcPr>
            <w:tcW w:type="dxa" w:w="3600"/>
            <w:shd w:fill="F4F4F4" w:val="clear"/>
          </w:tcPr>
          <w:p>
            <w:pPr>
              <w:spacing w:after="28" w:before="28"/>
              <w:ind w:left="60"/>
            </w:pPr>
            <w:r>
              <w:rPr>
                <w:color w:val="1A1A1A"/>
                <w:sz w:val="17"/>
                <w:szCs w:val="17"/>
              </w:rPr>
              <w:t xml:space="preserve">Valeur = Prix achat × (1 - 0,10) ^ âge</w:t>
            </w:r>
          </w:p>
        </w:tc>
      </w:tr>
    </w:tbl>
    <w:p>
      <w:pPr>
        <w:spacing w:after="50" w:before="50"/>
      </w:pPr>
    </w:p>
    <w:p>
      <w:pPr>
        <w:pBdr>
          <w:left w:val="single" w:color="1A6B3A" w:sz="14" w:space="10"/>
        </w:pBdr>
        <w:shd w:fill="E8F5EE" w:val="clear"/>
        <w:spacing w:after="70" w:before="70"/>
        <w:ind w:left="200"/>
      </w:pPr>
      <w:r>
        <w:rPr>
          <w:i/>
          <w:iCs/>
          <w:color w:val="1A1A1A"/>
          <w:sz w:val="18"/>
          <w:szCs w:val="18"/>
        </w:rPr>
        <w:t xml:space="preserve">Cette valeur dépréciée est une proposition automatique. L'utilisateur peut la remplacer par son propre estimatif ou par un prix offert reçu.</w:t>
      </w:r>
    </w:p>
    <w:p>
      <w:r>
        <w:br w:type="page"/>
      </w:r>
    </w:p>
    <w:p>
      <w:pPr>
        <w:pStyle w:val="Heading1"/>
        <w:shd w:fill="1A6B3A" w:val="clear"/>
        <w:spacing w:after="100" w:before="320"/>
        <w:ind w:left="160" w:right="160"/>
      </w:pPr>
      <w:r>
        <w:rPr>
          <w:b/>
          <w:bCs/>
          <w:color w:val="FFFFFF"/>
          <w:sz w:val="30"/>
          <w:szCs w:val="30"/>
        </w:rPr>
        <w:t xml:space="preserve">6. Tableau de bord</w:t>
      </w:r>
    </w:p>
    <w:p>
      <w:pPr>
        <w:pStyle w:val="Heading2"/>
        <w:pBdr>
          <w:bottom w:val="single" w:color="C6E5D1" w:sz="6" w:space="4"/>
        </w:pBdr>
        <w:spacing w:after="60" w:before="260"/>
      </w:pPr>
      <w:r>
        <w:rPr>
          <w:b/>
          <w:bCs/>
          <w:color w:val="1A6B3A"/>
          <w:sz w:val="26"/>
          <w:szCs w:val="26"/>
        </w:rPr>
        <w:t xml:space="preserve">6.1 Données affichées</w:t>
      </w:r>
    </w:p>
    <w:p>
      <w:pPr>
        <w:spacing w:after="60" w:before="50"/>
        <w:jc w:val="both"/>
      </w:pPr>
      <w:r>
        <w:rPr>
          <w:color w:val="1A1A1A"/>
          <w:sz w:val="20"/>
          <w:szCs w:val="20"/>
        </w:rPr>
        <w:t xml:space="preserve">Le tableau de bord est l'écran principal de consultation patrimoniale. Il affiche en temps réel :</w:t>
      </w:r>
    </w:p>
    <w:p>
      <w:pPr>
        <w:spacing w:after="30" w:before="30"/>
        <w:ind w:left="360"/>
      </w:pPr>
      <w:r>
        <w:rPr>
          <w:color w:val="1A1A1A"/>
          <w:sz w:val="20"/>
          <w:szCs w:val="20"/>
        </w:rPr>
        <w:t xml:space="preserve">• Patrimoine total (somme des 8 catégories)</w:t>
      </w:r>
    </w:p>
    <w:p>
      <w:pPr>
        <w:spacing w:after="30" w:before="30"/>
        <w:ind w:left="360"/>
      </w:pPr>
      <w:r>
        <w:rPr>
          <w:color w:val="1A1A1A"/>
          <w:sz w:val="20"/>
          <w:szCs w:val="20"/>
        </w:rPr>
        <w:t xml:space="preserve">• Plus ou moins-value globale : différence entre la valeur actuelle et le coût total d'acquisition (PEA + CT + immobilier + transport + or). Liquidités et banque exclus du calcul du coût.</w:t>
      </w:r>
    </w:p>
    <w:p>
      <w:pPr>
        <w:spacing w:after="30" w:before="30"/>
        <w:ind w:left="360"/>
      </w:pPr>
      <w:r>
        <w:rPr>
          <w:color w:val="1A1A1A"/>
          <w:sz w:val="20"/>
          <w:szCs w:val="20"/>
        </w:rPr>
        <w:t xml:space="preserve">• Performance en pourcentage</w:t>
      </w:r>
    </w:p>
    <w:p>
      <w:pPr>
        <w:spacing w:after="30" w:before="30"/>
        <w:ind w:left="360"/>
      </w:pPr>
      <w:r>
        <w:rPr>
          <w:color w:val="1A1A1A"/>
          <w:sz w:val="20"/>
          <w:szCs w:val="20"/>
        </w:rPr>
        <w:t xml:space="preserve">• Cours du MASI (indice général de la Bourse de Casablanca) + variation du jour</w:t>
      </w:r>
    </w:p>
    <w:p>
      <w:pPr>
        <w:spacing w:after="30" w:before="30"/>
        <w:ind w:left="360"/>
      </w:pPr>
      <w:r>
        <w:rPr>
          <w:color w:val="1A1A1A"/>
          <w:sz w:val="20"/>
          <w:szCs w:val="20"/>
        </w:rPr>
        <w:t xml:space="preserve">• Prix de l'or en DH/gramme + variation</w:t>
      </w:r>
    </w:p>
    <w:p>
      <w:pPr>
        <w:spacing w:after="30" w:before="30"/>
        <w:ind w:left="360"/>
      </w:pPr>
      <w:r>
        <w:rPr>
          <w:color w:val="1A1A1A"/>
          <w:sz w:val="20"/>
          <w:szCs w:val="20"/>
        </w:rPr>
        <w:t xml:space="preserve">• Liste des 8 catégories, triées par valeur décroissante, avec valeur, poids (%) et pour PEA et CT : badge P&amp;L individuel</w:t>
      </w:r>
    </w:p>
    <w:p>
      <w:pPr>
        <w:spacing w:after="30" w:before="30"/>
        <w:ind w:left="360"/>
      </w:pPr>
      <w:r>
        <w:rPr>
          <w:color w:val="1A1A1A"/>
          <w:sz w:val="20"/>
          <w:szCs w:val="20"/>
        </w:rPr>
        <w:t xml:space="preserve">• Graphe interactif d'évolution du patrimoine dans le temps</w:t>
      </w:r>
    </w:p>
    <w:p>
      <w:pPr>
        <w:pStyle w:val="Heading2"/>
        <w:pBdr>
          <w:bottom w:val="single" w:color="C6E5D1" w:sz="6" w:space="4"/>
        </w:pBdr>
        <w:spacing w:after="60" w:before="260"/>
      </w:pPr>
      <w:r>
        <w:rPr>
          <w:b/>
          <w:bCs/>
          <w:color w:val="1A6B3A"/>
          <w:sz w:val="26"/>
          <w:szCs w:val="26"/>
        </w:rPr>
        <w:t xml:space="preserve">6.2 Graphe d'évolution</w:t>
      </w:r>
    </w:p>
    <w:p>
      <w:pPr>
        <w:spacing w:after="60" w:before="50"/>
        <w:jc w:val="both"/>
      </w:pPr>
      <w:r>
        <w:rPr>
          <w:color w:val="1A1A1A"/>
          <w:sz w:val="20"/>
          <w:szCs w:val="20"/>
        </w:rPr>
        <w:t xml:space="preserve">Le graphe affiche l'historique des snapshots journaliers. 5 périodes disponibles : 1 semaine, 1 mois, 3 mois, 1 an, Max (depuis la date de début de suivi configurée). Si l'objectif patrimonial est défini, il est représenté sur le graphe. En mode démo (pas d'historique réel), une courbe simulée est générée pour illustrer la fonctionnalité.</w:t>
      </w:r>
    </w:p>
    <w:p>
      <w:pPr>
        <w:pStyle w:val="Heading2"/>
        <w:pBdr>
          <w:bottom w:val="single" w:color="C6E5D1" w:sz="6" w:space="4"/>
        </w:pBdr>
        <w:spacing w:after="60" w:before="260"/>
      </w:pPr>
      <w:r>
        <w:rPr>
          <w:b/>
          <w:bCs/>
          <w:color w:val="1A6B3A"/>
          <w:sz w:val="26"/>
          <w:szCs w:val="26"/>
        </w:rPr>
        <w:t xml:space="preserve">6.3 Rafraîchissement des données marché</w:t>
      </w:r>
    </w:p>
    <w:p>
      <w:pPr>
        <w:spacing w:after="60" w:before="50"/>
        <w:jc w:val="both"/>
      </w:pPr>
      <w:r>
        <w:rPr>
          <w:color w:val="1A1A1A"/>
          <w:sz w:val="20"/>
          <w:szCs w:val="20"/>
        </w:rPr>
        <w:t xml:space="preserve">Un bouton "Rafraîchir" déclenche manuellement la mise à jour des cours BVC et du prix de l'or. L'indicateur d'état BVC (Chargement / OK / Erreur) est visible dans l'interface. En dehors des heures de bourse, le rafraîchissement BVC retourne les derniers cours connus.</w:t>
      </w:r>
    </w:p>
    <w:p>
      <w:r>
        <w:br w:type="page"/>
      </w:r>
    </w:p>
    <w:p>
      <w:pPr>
        <w:pStyle w:val="Heading1"/>
        <w:shd w:fill="1A6B3A" w:val="clear"/>
        <w:spacing w:after="100" w:before="320"/>
        <w:ind w:left="160" w:right="160"/>
      </w:pPr>
      <w:r>
        <w:rPr>
          <w:b/>
          <w:bCs/>
          <w:color w:val="FFFFFF"/>
          <w:sz w:val="30"/>
          <w:szCs w:val="30"/>
        </w:rPr>
        <w:t xml:space="preserve">7. Fonctionnalités transversales</w:t>
      </w:r>
    </w:p>
    <w:p>
      <w:pPr>
        <w:pStyle w:val="Heading2"/>
        <w:pBdr>
          <w:bottom w:val="single" w:color="C6E5D1" w:sz="6" w:space="4"/>
        </w:pBdr>
        <w:spacing w:after="60" w:before="260"/>
      </w:pPr>
      <w:r>
        <w:rPr>
          <w:b/>
          <w:bCs/>
          <w:color w:val="1A6B3A"/>
          <w:sz w:val="26"/>
          <w:szCs w:val="26"/>
        </w:rPr>
        <w:t xml:space="preserve">7.1 Données de marché automatiques</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gridCol w:w="100"/>
      </w:tblGrid>
      <w:tr>
        <w:trPr>
          <w:tblHeader/>
        </w:trPr>
        <w:tc>
          <w:tcPr>
            <w:tcW w:type="dxa" w:w="2800"/>
            <w:shd w:fill="1A6B3A" w:val="clear"/>
          </w:tcPr>
          <w:p>
            <w:pPr>
              <w:spacing w:after="30" w:before="30"/>
              <w:jc w:val="center"/>
            </w:pPr>
            <w:r>
              <w:rPr>
                <w:b/>
                <w:bCs/>
                <w:color w:val="FFFFFF"/>
                <w:sz w:val="17"/>
                <w:szCs w:val="17"/>
              </w:rPr>
              <w:t xml:space="preserve">Source</w:t>
            </w:r>
          </w:p>
        </w:tc>
        <w:tc>
          <w:tcPr>
            <w:tcW w:type="dxa" w:w="2000"/>
            <w:shd w:fill="1A6B3A" w:val="clear"/>
          </w:tcPr>
          <w:p>
            <w:pPr>
              <w:spacing w:after="30" w:before="30"/>
              <w:jc w:val="center"/>
            </w:pPr>
            <w:r>
              <w:rPr>
                <w:b/>
                <w:bCs/>
                <w:color w:val="FFFFFF"/>
                <w:sz w:val="17"/>
                <w:szCs w:val="17"/>
              </w:rPr>
              <w:t xml:space="preserve">Fréquence</w:t>
            </w:r>
          </w:p>
        </w:tc>
        <w:tc>
          <w:tcPr>
            <w:tcW w:type="dxa" w:w="3000"/>
            <w:shd w:fill="1A6B3A" w:val="clear"/>
          </w:tcPr>
          <w:p>
            <w:pPr>
              <w:spacing w:after="30" w:before="30"/>
              <w:jc w:val="center"/>
            </w:pPr>
            <w:r>
              <w:rPr>
                <w:b/>
                <w:bCs/>
                <w:color w:val="FFFFFF"/>
                <w:sz w:val="17"/>
                <w:szCs w:val="17"/>
              </w:rPr>
              <w:t xml:space="preserve">Contenu</w:t>
            </w:r>
          </w:p>
        </w:tc>
      </w:tr>
      <w:tr>
        <w:tc>
          <w:tcPr>
            <w:tcW w:type="dxa" w:w="2800"/>
            <w:shd w:fill="FFFFFF" w:val="clear"/>
          </w:tcPr>
          <w:p>
            <w:pPr>
              <w:spacing w:after="28" w:before="28"/>
              <w:ind w:left="60"/>
            </w:pPr>
            <w:r>
              <w:rPr>
                <w:color w:val="1A1A1A"/>
                <w:sz w:val="17"/>
                <w:szCs w:val="17"/>
              </w:rPr>
              <w:t xml:space="preserve">GitHub Actions (TradingView scanner BVC)</w:t>
            </w:r>
          </w:p>
        </w:tc>
        <w:tc>
          <w:tcPr>
            <w:tcW w:type="dxa" w:w="2000"/>
            <w:shd w:fill="FFFFFF" w:val="clear"/>
          </w:tcPr>
          <w:p>
            <w:pPr>
              <w:spacing w:after="28" w:before="28"/>
              <w:ind w:left="60"/>
            </w:pPr>
            <w:r>
              <w:rPr>
                <w:color w:val="1A1A1A"/>
                <w:sz w:val="17"/>
                <w:szCs w:val="17"/>
              </w:rPr>
              <w:t xml:space="preserve">Toutes les heures en heures de bourse (L-V)</w:t>
            </w:r>
          </w:p>
        </w:tc>
        <w:tc>
          <w:tcPr>
            <w:tcW w:type="dxa" w:w="3000"/>
            <w:shd w:fill="FFFFFF" w:val="clear"/>
          </w:tcPr>
          <w:p>
            <w:pPr>
              <w:spacing w:after="28" w:before="28"/>
              <w:ind w:left="60"/>
            </w:pPr>
            <w:r>
              <w:rPr>
                <w:color w:val="1A1A1A"/>
                <w:sz w:val="17"/>
                <w:szCs w:val="17"/>
              </w:rPr>
              <w:t xml:space="preserve">75 tickers BVC + MASI (indice boursier)</w:t>
            </w:r>
          </w:p>
        </w:tc>
      </w:tr>
      <w:tr>
        <w:tc>
          <w:tcPr>
            <w:tcW w:type="dxa" w:w="2800"/>
            <w:shd w:fill="F4F4F4" w:val="clear"/>
          </w:tcPr>
          <w:p>
            <w:pPr>
              <w:spacing w:after="28" w:before="28"/>
              <w:ind w:left="60"/>
            </w:pPr>
            <w:r>
              <w:rPr>
                <w:color w:val="1A1A1A"/>
                <w:sz w:val="17"/>
                <w:szCs w:val="17"/>
              </w:rPr>
              <w:t xml:space="preserve">Edge Function Supabase (fallback)</w:t>
            </w:r>
          </w:p>
        </w:tc>
        <w:tc>
          <w:tcPr>
            <w:tcW w:type="dxa" w:w="2000"/>
            <w:shd w:fill="F4F4F4" w:val="clear"/>
          </w:tcPr>
          <w:p>
            <w:pPr>
              <w:spacing w:after="28" w:before="28"/>
              <w:ind w:left="60"/>
            </w:pPr>
            <w:r>
              <w:rPr>
                <w:color w:val="1A1A1A"/>
                <w:sz w:val="17"/>
                <w:szCs w:val="17"/>
              </w:rPr>
              <w:t xml:space="preserve">Sur demande si GitHub indisponible</w:t>
            </w:r>
          </w:p>
        </w:tc>
        <w:tc>
          <w:tcPr>
            <w:tcW w:type="dxa" w:w="3000"/>
            <w:shd w:fill="F4F4F4" w:val="clear"/>
          </w:tcPr>
          <w:p>
            <w:pPr>
              <w:spacing w:after="28" w:before="28"/>
              <w:ind w:left="60"/>
            </w:pPr>
            <w:r>
              <w:rPr>
                <w:color w:val="1A1A1A"/>
                <w:sz w:val="17"/>
                <w:szCs w:val="17"/>
              </w:rPr>
              <w:t xml:space="preserve">Mêmes données, source de secours</w:t>
            </w:r>
          </w:p>
        </w:tc>
      </w:tr>
      <w:tr>
        <w:tc>
          <w:tcPr>
            <w:tcW w:type="dxa" w:w="2800"/>
            <w:shd w:fill="FFFFFF" w:val="clear"/>
          </w:tcPr>
          <w:p>
            <w:pPr>
              <w:spacing w:after="28" w:before="28"/>
              <w:ind w:left="60"/>
            </w:pPr>
            <w:r>
              <w:rPr>
                <w:color w:val="1A1A1A"/>
                <w:sz w:val="17"/>
                <w:szCs w:val="17"/>
              </w:rPr>
              <w:t xml:space="preserve">Scraper quotidien</w:t>
            </w:r>
          </w:p>
        </w:tc>
        <w:tc>
          <w:tcPr>
            <w:tcW w:type="dxa" w:w="2000"/>
            <w:shd w:fill="FFFFFF" w:val="clear"/>
          </w:tcPr>
          <w:p>
            <w:pPr>
              <w:spacing w:after="28" w:before="28"/>
              <w:ind w:left="60"/>
            </w:pPr>
            <w:r>
              <w:rPr>
                <w:color w:val="1A1A1A"/>
                <w:sz w:val="17"/>
                <w:szCs w:val="17"/>
              </w:rPr>
              <w:t xml:space="preserve">Chaque matin</w:t>
            </w:r>
          </w:p>
        </w:tc>
        <w:tc>
          <w:tcPr>
            <w:tcW w:type="dxa" w:w="3000"/>
            <w:shd w:fill="FFFFFF" w:val="clear"/>
          </w:tcPr>
          <w:p>
            <w:pPr>
              <w:spacing w:after="28" w:before="28"/>
              <w:ind w:left="60"/>
            </w:pPr>
            <w:r>
              <w:rPr>
                <w:color w:val="1A1A1A"/>
                <w:sz w:val="17"/>
                <w:szCs w:val="17"/>
              </w:rPr>
              <w:t xml:space="preserve">Prix de l'or 24k en DH/gramme</w:t>
            </w:r>
          </w:p>
        </w:tc>
      </w:tr>
      <w:tr>
        <w:tc>
          <w:tcPr>
            <w:tcW w:type="dxa" w:w="2800"/>
            <w:shd w:fill="F4F4F4" w:val="clear"/>
          </w:tcPr>
          <w:p>
            <w:pPr>
              <w:spacing w:after="28" w:before="28"/>
              <w:ind w:left="60"/>
            </w:pPr>
            <w:r>
              <w:rPr>
                <w:color w:val="1A1A1A"/>
                <w:sz w:val="17"/>
                <w:szCs w:val="17"/>
              </w:rPr>
              <w:t xml:space="preserve">Proxy devises</w:t>
            </w:r>
          </w:p>
        </w:tc>
        <w:tc>
          <w:tcPr>
            <w:tcW w:type="dxa" w:w="2000"/>
            <w:shd w:fill="F4F4F4" w:val="clear"/>
          </w:tcPr>
          <w:p>
            <w:pPr>
              <w:spacing w:after="28" w:before="28"/>
              <w:ind w:left="60"/>
            </w:pPr>
            <w:r>
              <w:rPr>
                <w:color w:val="1A1A1A"/>
                <w:sz w:val="17"/>
                <w:szCs w:val="17"/>
              </w:rPr>
              <w:t xml:space="preserve">Sur demande</w:t>
            </w:r>
          </w:p>
        </w:tc>
        <w:tc>
          <w:tcPr>
            <w:tcW w:type="dxa" w:w="3000"/>
            <w:shd w:fill="F4F4F4" w:val="clear"/>
          </w:tcPr>
          <w:p>
            <w:pPr>
              <w:spacing w:after="28" w:before="28"/>
              <w:ind w:left="60"/>
            </w:pPr>
            <w:r>
              <w:rPr>
                <w:color w:val="1A1A1A"/>
                <w:sz w:val="17"/>
                <w:szCs w:val="17"/>
              </w:rPr>
              <w:t xml:space="preserve">Taux de change (18 devises)</w:t>
            </w:r>
          </w:p>
        </w:tc>
      </w:tr>
    </w:tbl>
    <w:p>
      <w:pPr>
        <w:spacing w:after="50" w:before="50"/>
      </w:pPr>
    </w:p>
    <w:p>
      <w:pPr>
        <w:pBdr>
          <w:left w:val="single" w:color="1A6B3A" w:sz="14" w:space="10"/>
        </w:pBdr>
        <w:shd w:fill="E8F5EE" w:val="clear"/>
        <w:spacing w:after="70" w:before="70"/>
        <w:ind w:left="200"/>
      </w:pPr>
      <w:r>
        <w:rPr>
          <w:i/>
          <w:iCs/>
          <w:color w:val="1A1A1A"/>
          <w:sz w:val="18"/>
          <w:szCs w:val="18"/>
        </w:rPr>
        <w:t xml:space="preserve">Les cours sont en temps différé. Aucun flux temps réel. Hors heures de bourse, les derniers cours connus sont affichés avec leur date de mise à jour.</w:t>
      </w:r>
    </w:p>
    <w:p>
      <w:pPr>
        <w:pStyle w:val="Heading2"/>
        <w:pBdr>
          <w:bottom w:val="single" w:color="C6E5D1" w:sz="6" w:space="4"/>
        </w:pBdr>
        <w:spacing w:after="60" w:before="260"/>
      </w:pPr>
      <w:r>
        <w:rPr>
          <w:b/>
          <w:bCs/>
          <w:color w:val="1A6B3A"/>
          <w:sz w:val="26"/>
          <w:szCs w:val="26"/>
        </w:rPr>
        <w:t xml:space="preserve">7.2 Historique patrimonial</w:t>
      </w:r>
    </w:p>
    <w:p>
      <w:pPr>
        <w:spacing w:after="60" w:before="50"/>
        <w:jc w:val="both"/>
      </w:pPr>
      <w:r>
        <w:rPr>
          <w:color w:val="1A1A1A"/>
          <w:sz w:val="20"/>
          <w:szCs w:val="20"/>
        </w:rPr>
        <w:t xml:space="preserve">Chaque modification d'actif crée automatiquement un snapshot journalier (date + valeur totale). Maximum 400 entrées conservées (~13 mois de données quotidiennes). L'historique est synchronisé avec Supabase et fusionné intelligemment en cas d'usage multi-appareils : les entrées de même date — quelle que soit la source — sont dédupliquées, avec priorité aux données cloud.</w:t>
      </w:r>
    </w:p>
    <w:p>
      <w:pPr>
        <w:pStyle w:val="Heading2"/>
        <w:pBdr>
          <w:bottom w:val="single" w:color="C6E5D1" w:sz="6" w:space="4"/>
        </w:pBdr>
        <w:spacing w:after="60" w:before="260"/>
      </w:pPr>
      <w:r>
        <w:rPr>
          <w:b/>
          <w:bCs/>
          <w:color w:val="1A6B3A"/>
          <w:sz w:val="26"/>
          <w:szCs w:val="26"/>
        </w:rPr>
        <w:t xml:space="preserve">7.3 Objectif patrimonial</w:t>
      </w:r>
    </w:p>
    <w:p>
      <w:pPr>
        <w:spacing w:after="60" w:before="50"/>
        <w:jc w:val="both"/>
      </w:pPr>
      <w:r>
        <w:rPr>
          <w:color w:val="1A1A1A"/>
          <w:sz w:val="20"/>
          <w:szCs w:val="20"/>
        </w:rPr>
        <w:t xml:space="preserve">L'utilisateur peut définir un objectif (montant cible + date cible). Il est affiché dans le graphe d'évolution et dans les exports PDF et CSV, avec le pourcentage d'avancement calculé en temps réel.</w:t>
      </w:r>
    </w:p>
    <w:p>
      <w:pPr>
        <w:pStyle w:val="Heading2"/>
        <w:pBdr>
          <w:bottom w:val="single" w:color="C6E5D1" w:sz="6" w:space="4"/>
        </w:pBdr>
        <w:spacing w:after="60" w:before="260"/>
      </w:pPr>
      <w:r>
        <w:rPr>
          <w:b/>
          <w:bCs/>
          <w:color w:val="1A6B3A"/>
          <w:sz w:val="26"/>
          <w:szCs w:val="26"/>
        </w:rPr>
        <w:t xml:space="preserve">7.4 Date de début de suivi</w:t>
      </w:r>
    </w:p>
    <w:p>
      <w:pPr>
        <w:spacing w:after="60" w:before="50"/>
        <w:jc w:val="both"/>
      </w:pPr>
      <w:r>
        <w:rPr>
          <w:color w:val="1A1A1A"/>
          <w:sz w:val="20"/>
          <w:szCs w:val="20"/>
        </w:rPr>
        <w:t xml:space="preserve">L'utilisateur peut configurer une date de début de suivi (accepte les formats JJ/MM/AAAA, AAAA-MM-JJ, ou l'année seule). Cette date définit le point de départ du graphe sur la période "Max".</w:t>
      </w:r>
    </w:p>
    <w:p>
      <w:pPr>
        <w:pStyle w:val="Heading2"/>
        <w:pBdr>
          <w:bottom w:val="single" w:color="C6E5D1" w:sz="6" w:space="4"/>
        </w:pBdr>
        <w:spacing w:after="60" w:before="260"/>
      </w:pPr>
      <w:r>
        <w:rPr>
          <w:b/>
          <w:bCs/>
          <w:color w:val="1A6B3A"/>
          <w:sz w:val="26"/>
          <w:szCs w:val="26"/>
        </w:rPr>
        <w:t xml:space="preserve">7.5 Export PDF</w:t>
      </w:r>
    </w:p>
    <w:p>
      <w:pPr>
        <w:spacing w:after="60" w:before="50"/>
        <w:jc w:val="both"/>
      </w:pPr>
      <w:r>
        <w:rPr>
          <w:color w:val="1A1A1A"/>
          <w:sz w:val="20"/>
          <w:szCs w:val="20"/>
        </w:rPr>
        <w:t xml:space="preserve">Génère un rapport PDF structuré : en-tête avec date et nom, patrimoine total, tableau des 8 catégories (valeur, pourcentage, barre de répartition), objectif patrimonial si défini. Partagé via le Share Sheet iOS natif.</w:t>
      </w:r>
    </w:p>
    <w:p>
      <w:pPr>
        <w:spacing w:after="60" w:before="50"/>
        <w:jc w:val="both"/>
      </w:pPr>
      <w:r>
        <w:rPr>
          <w:color w:val="1A1A1A"/>
          <w:sz w:val="20"/>
          <w:szCs w:val="20"/>
        </w:rPr>
        <w:t xml:space="preserve">Repose sur le module natif Objective-C RNPDFExport (génération UIKit). Si le module est indisponible, l'app bascule automatiquement sur un export texte formaté via Share.share() — même contenu, sans mise en page PDF.</w:t>
      </w:r>
    </w:p>
    <w:p>
      <w:pPr>
        <w:pStyle w:val="Heading2"/>
        <w:pBdr>
          <w:bottom w:val="single" w:color="C6E5D1" w:sz="6" w:space="4"/>
        </w:pBdr>
        <w:spacing w:after="60" w:before="260"/>
      </w:pPr>
      <w:r>
        <w:rPr>
          <w:b/>
          <w:bCs/>
          <w:color w:val="1A6B3A"/>
          <w:sz w:val="26"/>
          <w:szCs w:val="26"/>
        </w:rPr>
        <w:t xml:space="preserve">7.6 Export CSV</w:t>
      </w:r>
    </w:p>
    <w:p>
      <w:pPr>
        <w:spacing w:after="60" w:before="50"/>
        <w:jc w:val="both"/>
      </w:pPr>
      <w:r>
        <w:rPr>
          <w:color w:val="1A1A1A"/>
          <w:sz w:val="20"/>
          <w:szCs w:val="20"/>
        </w:rPr>
        <w:t xml:space="preserve">Exporte les 8 catégories avec valeurs et pourcentages au format CSV (séparateur point-virgule). Pure JavaScript, sans module natif. Partagé via le Share Sheet iOS.</w:t>
      </w:r>
    </w:p>
    <w:p>
      <w:pPr>
        <w:pStyle w:val="Heading2"/>
        <w:pBdr>
          <w:bottom w:val="single" w:color="C6E5D1" w:sz="6" w:space="4"/>
        </w:pBdr>
        <w:spacing w:after="60" w:before="260"/>
      </w:pPr>
      <w:r>
        <w:rPr>
          <w:b/>
          <w:bCs/>
          <w:color w:val="1A6B3A"/>
          <w:sz w:val="26"/>
          <w:szCs w:val="26"/>
        </w:rPr>
        <w:t xml:space="preserve">7.7 Import CSV bancaire</w:t>
      </w:r>
    </w:p>
    <w:p>
      <w:pPr>
        <w:spacing w:after="60" w:before="50"/>
        <w:jc w:val="both"/>
      </w:pPr>
      <w:r>
        <w:rPr>
          <w:color w:val="1A1A1A"/>
          <w:sz w:val="20"/>
          <w:szCs w:val="20"/>
        </w:rPr>
        <w:t xml:space="preserve">Permet de coller le contenu d'un relevé bancaire CSV pour en extraire le solde automatiquement. L'app détecte le séparateur (virgule ou point-virgule), repère la colonne "Solde" ou "Balance", et extrait le dernier solde trouvé pour mise à jour directe dans la catégorie Banque.</w:t>
      </w:r>
    </w:p>
    <w:p>
      <w:pPr>
        <w:pStyle w:val="Heading2"/>
        <w:pBdr>
          <w:bottom w:val="single" w:color="C6E5D1" w:sz="6" w:space="4"/>
        </w:pBdr>
        <w:spacing w:after="60" w:before="260"/>
      </w:pPr>
      <w:r>
        <w:rPr>
          <w:b/>
          <w:bCs/>
          <w:color w:val="1A6B3A"/>
          <w:sz w:val="26"/>
          <w:szCs w:val="26"/>
        </w:rPr>
        <w:t xml:space="preserve">7.8 Rappels mensuels (push iOS)</w:t>
      </w:r>
    </w:p>
    <w:p>
      <w:pPr>
        <w:spacing w:after="60" w:before="50"/>
        <w:jc w:val="both"/>
      </w:pPr>
      <w:r>
        <w:rPr>
          <w:color w:val="1A1A1A"/>
          <w:sz w:val="20"/>
          <w:szCs w:val="20"/>
        </w:rPr>
        <w:t xml:space="preserve">Le code prévoit des rappels mensuels via @react-native-community/push-notification-ios. Le toggle est visible dans Paramètres et déclenchera la logique de scheduling si le module est installé.</w:t>
      </w:r>
    </w:p>
    <w:p>
      <w:pPr>
        <w:pBdr>
          <w:left w:val="single" w:color="E08000" w:sz="14" w:space="10"/>
        </w:pBdr>
        <w:shd w:fill="FFF3E0" w:val="clear"/>
        <w:spacing w:after="70" w:before="70"/>
        <w:ind w:left="200"/>
      </w:pPr>
      <w:r>
        <w:rPr>
          <w:i/>
          <w:iCs/>
          <w:color w:val="1A1A1A"/>
          <w:sz w:val="18"/>
          <w:szCs w:val="18"/>
        </w:rPr>
        <w:t xml:space="preserve">⚠ État actuel : le module @react-native-community/push-notification-ios est absent de node_modules. Les deux blocs require() échouent silencieusement — aucune notification n'est jamais schedulée. Feature non fonctionnelle jusqu'à l'installation du module et de son pod iOS.</w:t>
      </w:r>
    </w:p>
    <w:p>
      <w:pPr>
        <w:pStyle w:val="Heading2"/>
        <w:pBdr>
          <w:bottom w:val="single" w:color="C6E5D1" w:sz="6" w:space="4"/>
        </w:pBdr>
        <w:spacing w:after="60" w:before="260"/>
      </w:pPr>
      <w:r>
        <w:rPr>
          <w:b/>
          <w:bCs/>
          <w:color w:val="1A6B3A"/>
          <w:sz w:val="26"/>
          <w:szCs w:val="26"/>
        </w:rPr>
        <w:t xml:space="preserve">7.9 Synchronisation cloud</w:t>
      </w:r>
    </w:p>
    <w:p>
      <w:pPr>
        <w:spacing w:after="60" w:before="50"/>
        <w:jc w:val="both"/>
      </w:pPr>
      <w:r>
        <w:rPr>
          <w:color w:val="1A1A1A"/>
          <w:sz w:val="20"/>
          <w:szCs w:val="20"/>
        </w:rPr>
        <w:t xml:space="preserve">Les données sont synchronisées avec Supabase via un mécanisme d'outbox : les modifications locales sont enfilées et transmises en arrière-plan. L'app fonctionne hors ligne sans dégradation visible. En cas d'absence de réseau, les données sont conservées localement et envoyées dès que la connexion est rétablie. Chaque utilisateur n'accède qu'à ses propres données (politiques RLS Supabase).</w:t>
      </w:r>
    </w:p>
    <w:p>
      <w:r>
        <w:br w:type="page"/>
      </w:r>
    </w:p>
    <w:p>
      <w:pPr>
        <w:pStyle w:val="Heading1"/>
        <w:shd w:fill="1A6B3A" w:val="clear"/>
        <w:spacing w:after="100" w:before="320"/>
        <w:ind w:left="160" w:right="160"/>
      </w:pPr>
      <w:r>
        <w:rPr>
          <w:b/>
          <w:bCs/>
          <w:color w:val="FFFFFF"/>
          <w:sz w:val="30"/>
          <w:szCs w:val="30"/>
        </w:rPr>
        <w:t xml:space="preserve">8. Sécurité et accès</w:t>
      </w:r>
    </w:p>
    <w:p>
      <w:pPr>
        <w:pStyle w:val="Heading2"/>
        <w:pBdr>
          <w:bottom w:val="single" w:color="C6E5D1" w:sz="6" w:space="4"/>
        </w:pBdr>
        <w:spacing w:after="60" w:before="260"/>
      </w:pPr>
      <w:r>
        <w:rPr>
          <w:b/>
          <w:bCs/>
          <w:color w:val="1A6B3A"/>
          <w:sz w:val="26"/>
          <w:szCs w:val="26"/>
        </w:rPr>
        <w:t xml:space="preserve">8.1 Options de protection locales</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2200"/>
            <w:shd w:fill="1A6B3A" w:val="clear"/>
          </w:tcPr>
          <w:p>
            <w:pPr>
              <w:spacing w:after="30" w:before="30"/>
              <w:jc w:val="center"/>
            </w:pPr>
            <w:r>
              <w:rPr>
                <w:b/>
                <w:bCs/>
                <w:color w:val="FFFFFF"/>
                <w:sz w:val="17"/>
                <w:szCs w:val="17"/>
              </w:rPr>
              <w:t xml:space="preserve">Feature</w:t>
            </w:r>
          </w:p>
        </w:tc>
        <w:tc>
          <w:tcPr>
            <w:tcW w:type="dxa" w:w="5600"/>
            <w:shd w:fill="1A6B3A" w:val="clear"/>
          </w:tcPr>
          <w:p>
            <w:pPr>
              <w:spacing w:after="30" w:before="30"/>
              <w:jc w:val="center"/>
            </w:pPr>
            <w:r>
              <w:rPr>
                <w:b/>
                <w:bCs/>
                <w:color w:val="FFFFFF"/>
                <w:sz w:val="17"/>
                <w:szCs w:val="17"/>
              </w:rPr>
              <w:t xml:space="preserve">Comportement</w:t>
            </w:r>
          </w:p>
        </w:tc>
      </w:tr>
      <w:tr>
        <w:tc>
          <w:tcPr>
            <w:tcW w:type="dxa" w:w="2200"/>
            <w:shd w:fill="FFFFFF" w:val="clear"/>
          </w:tcPr>
          <w:p>
            <w:pPr>
              <w:spacing w:after="28" w:before="28"/>
              <w:ind w:left="60"/>
            </w:pPr>
            <w:r>
              <w:rPr>
                <w:color w:val="1A1A1A"/>
                <w:sz w:val="17"/>
                <w:szCs w:val="17"/>
              </w:rPr>
              <w:t xml:space="preserve">Face ID / Touch ID</w:t>
            </w:r>
          </w:p>
        </w:tc>
        <w:tc>
          <w:tcPr>
            <w:tcW w:type="dxa" w:w="5600"/>
            <w:shd w:fill="FFFFFF" w:val="clear"/>
          </w:tcPr>
          <w:p>
            <w:pPr>
              <w:spacing w:after="28" w:before="28"/>
              <w:ind w:left="60"/>
            </w:pPr>
            <w:r>
              <w:rPr>
                <w:color w:val="1A1A1A"/>
                <w:sz w:val="17"/>
                <w:szCs w:val="17"/>
              </w:rPr>
              <w:t xml:space="preserve">Authentification biométrique (react-native-biometrics). Si la biométrie n'est pas configurée sur l'appareil, un message l'indique et la bascule revient à son état précédent.</w:t>
            </w:r>
          </w:p>
        </w:tc>
      </w:tr>
      <w:tr>
        <w:tc>
          <w:tcPr>
            <w:tcW w:type="dxa" w:w="2200"/>
            <w:shd w:fill="F4F4F4" w:val="clear"/>
          </w:tcPr>
          <w:p>
            <w:pPr>
              <w:spacing w:after="28" w:before="28"/>
              <w:ind w:left="60"/>
            </w:pPr>
            <w:r>
              <w:rPr>
                <w:color w:val="1A1A1A"/>
                <w:sz w:val="17"/>
                <w:szCs w:val="17"/>
              </w:rPr>
              <w:t xml:space="preserve">Code PIN 6 chiffres</w:t>
            </w:r>
          </w:p>
        </w:tc>
        <w:tc>
          <w:tcPr>
            <w:tcW w:type="dxa" w:w="5600"/>
            <w:shd w:fill="F4F4F4" w:val="clear"/>
          </w:tcPr>
          <w:p>
            <w:pPr>
              <w:spacing w:after="28" w:before="28"/>
              <w:ind w:left="60"/>
            </w:pPr>
            <w:r>
              <w:rPr>
                <w:color w:val="1A1A1A"/>
                <w:sz w:val="17"/>
                <w:szCs w:val="17"/>
              </w:rPr>
              <w:t xml:space="preserve">Saisie, confirmation, vérification. Stocké localement. Modification possible uniquement après avoir saisi l'ancien PIN. Suppression avec confirmation.</w:t>
            </w:r>
          </w:p>
        </w:tc>
      </w:tr>
      <w:tr>
        <w:tc>
          <w:tcPr>
            <w:tcW w:type="dxa" w:w="2200"/>
            <w:shd w:fill="FFFFFF" w:val="clear"/>
          </w:tcPr>
          <w:p>
            <w:pPr>
              <w:spacing w:after="28" w:before="28"/>
              <w:ind w:left="60"/>
            </w:pPr>
            <w:r>
              <w:rPr>
                <w:color w:val="1A1A1A"/>
                <w:sz w:val="17"/>
                <w:szCs w:val="17"/>
              </w:rPr>
              <w:t xml:space="preserve">Verrouillage automatique</w:t>
            </w:r>
          </w:p>
        </w:tc>
        <w:tc>
          <w:tcPr>
            <w:tcW w:type="dxa" w:w="5600"/>
            <w:shd w:fill="FFFFFF" w:val="clear"/>
          </w:tcPr>
          <w:p>
            <w:pPr>
              <w:spacing w:after="28" w:before="28"/>
              <w:ind w:left="60"/>
            </w:pPr>
            <w:r>
              <w:rPr>
                <w:color w:val="1A1A1A"/>
                <w:sz w:val="17"/>
                <w:szCs w:val="17"/>
              </w:rPr>
              <w:t xml:space="preserve">Cinq options : Jamais / 1 minute / 2 minutes / 5 minutes / 10 minutes. Persisté entre sessions.</w:t>
            </w:r>
          </w:p>
        </w:tc>
      </w:tr>
      <w:tr>
        <w:tc>
          <w:tcPr>
            <w:tcW w:type="dxa" w:w="2200"/>
            <w:shd w:fill="F4F4F4" w:val="clear"/>
          </w:tcPr>
          <w:p>
            <w:pPr>
              <w:spacing w:after="28" w:before="28"/>
              <w:ind w:left="60"/>
            </w:pPr>
            <w:r>
              <w:rPr>
                <w:color w:val="1A1A1A"/>
                <w:sz w:val="17"/>
                <w:szCs w:val="17"/>
              </w:rPr>
              <w:t xml:space="preserve">Mode discret</w:t>
            </w:r>
          </w:p>
        </w:tc>
        <w:tc>
          <w:tcPr>
            <w:tcW w:type="dxa" w:w="5600"/>
            <w:shd w:fill="F4F4F4" w:val="clear"/>
          </w:tcPr>
          <w:p>
            <w:pPr>
              <w:spacing w:after="28" w:before="28"/>
              <w:ind w:left="60"/>
            </w:pPr>
            <w:r>
              <w:rPr>
                <w:color w:val="1A1A1A"/>
                <w:sz w:val="17"/>
                <w:szCs w:val="17"/>
              </w:rPr>
              <w:t xml:space="preserve">Masque tous les montants sous "•••• DH". Session uniquement, non persisté. Applicable immédiatement sans authentification.</w:t>
            </w:r>
          </w:p>
        </w:tc>
      </w:tr>
    </w:tbl>
    <w:p>
      <w:pPr>
        <w:spacing w:after="50" w:before="50"/>
      </w:pPr>
    </w:p>
    <w:p>
      <w:pPr>
        <w:pBdr>
          <w:left w:val="single" w:color="1A6B3A" w:sz="14" w:space="10"/>
        </w:pBdr>
        <w:shd w:fill="E8F5EE" w:val="clear"/>
        <w:spacing w:after="70" w:before="70"/>
        <w:ind w:left="200"/>
      </w:pPr>
      <w:r>
        <w:rPr>
          <w:i/>
          <w:iCs/>
          <w:color w:val="1A1A1A"/>
          <w:sz w:val="18"/>
          <w:szCs w:val="18"/>
        </w:rPr>
        <w:t xml:space="preserve">Face ID, PIN et déconnexion ne sont pas disponibles en mode démo.</w:t>
      </w:r>
    </w:p>
    <w:p>
      <w:pPr>
        <w:pStyle w:val="Heading2"/>
        <w:pBdr>
          <w:bottom w:val="single" w:color="C6E5D1" w:sz="6" w:space="4"/>
        </w:pBdr>
        <w:spacing w:after="60" w:before="260"/>
      </w:pPr>
      <w:r>
        <w:rPr>
          <w:b/>
          <w:bCs/>
          <w:color w:val="1A6B3A"/>
          <w:sz w:val="26"/>
          <w:szCs w:val="26"/>
        </w:rPr>
        <w:t xml:space="preserve">8.2 Données transmises et confidentialité</w:t>
      </w:r>
    </w:p>
    <w:p>
      <w:pPr>
        <w:spacing w:after="60" w:before="50"/>
        <w:jc w:val="both"/>
      </w:pPr>
      <w:r>
        <w:rPr>
          <w:color w:val="1A1A1A"/>
          <w:sz w:val="20"/>
          <w:szCs w:val="20"/>
        </w:rPr>
        <w:t xml:space="preserve">Les seules données transmises à Supabase sont : les données patrimoine (8 catégories), l'adresse email, et le prénom/nom. Aucun profilage comportemental, aucune transmission à des tiers. Les tokens de session sont stockés dans le Keychain iOS (Secure Enclave), inaccessibles hors déverrouillage de l'appareil et non transférables via iCloud Backup.</w:t>
      </w:r>
    </w:p>
    <w:p>
      <w:pPr>
        <w:pStyle w:val="Heading2"/>
        <w:pBdr>
          <w:bottom w:val="single" w:color="C6E5D1" w:sz="6" w:space="4"/>
        </w:pBdr>
        <w:spacing w:after="60" w:before="260"/>
      </w:pPr>
      <w:r>
        <w:rPr>
          <w:b/>
          <w:bCs/>
          <w:color w:val="1A6B3A"/>
          <w:sz w:val="26"/>
          <w:szCs w:val="26"/>
        </w:rPr>
        <w:t xml:space="preserve">8.3 Perte ou changement d'appareil</w:t>
      </w:r>
    </w:p>
    <w:p>
      <w:pPr>
        <w:spacing w:after="60" w:before="50"/>
        <w:jc w:val="both"/>
      </w:pPr>
      <w:r>
        <w:rPr>
          <w:color w:val="1A1A1A"/>
          <w:sz w:val="20"/>
          <w:szCs w:val="20"/>
        </w:rPr>
        <w:t xml:space="preserve">Les données étant synchronisées dans Supabase, elles sont intégralement récupérables sur un nouvel appareil après reconnexion avec le même compte. Il n'est pas possible de transférer les tokens de session — une nouvelle connexion est requise sur le nouvel appareil.</w:t>
      </w:r>
    </w:p>
    <w:p>
      <w:r>
        <w:br w:type="page"/>
      </w:r>
    </w:p>
    <w:p>
      <w:pPr>
        <w:pStyle w:val="Heading1"/>
        <w:shd w:fill="1A6B3A" w:val="clear"/>
        <w:spacing w:after="100" w:before="320"/>
        <w:ind w:left="160" w:right="160"/>
      </w:pPr>
      <w:r>
        <w:rPr>
          <w:b/>
          <w:bCs/>
          <w:color w:val="FFFFFF"/>
          <w:sz w:val="30"/>
          <w:szCs w:val="30"/>
        </w:rPr>
        <w:t xml:space="preserve">9. Page Conseils</w:t>
      </w:r>
    </w:p>
    <w:p>
      <w:pPr>
        <w:pStyle w:val="Heading2"/>
        <w:pBdr>
          <w:bottom w:val="single" w:color="C6E5D1" w:sz="6" w:space="4"/>
        </w:pBdr>
        <w:spacing w:after="60" w:before="260"/>
      </w:pPr>
      <w:r>
        <w:rPr>
          <w:b/>
          <w:bCs/>
          <w:color w:val="1A6B3A"/>
          <w:sz w:val="26"/>
          <w:szCs w:val="26"/>
        </w:rPr>
        <w:t xml:space="preserve">9.1 Les 10 règles</w:t>
      </w:r>
    </w:p>
    <w:p>
      <w:pPr>
        <w:spacing w:after="60" w:before="50"/>
        <w:jc w:val="both"/>
      </w:pPr>
      <w:r>
        <w:rPr>
          <w:color w:val="1A1A1A"/>
          <w:sz w:val="20"/>
          <w:szCs w:val="20"/>
        </w:rPr>
        <w:t xml:space="preserve">10 observations automatiques calculées sur le patrimoine réel, classées par priorité. Si aucune règle ne se déclenche, la page affiche "Excellent travail ! — Votre portfolio est bien équilibré."</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gridCol w:w="100"/>
      </w:tblGrid>
      <w:tr>
        <w:trPr>
          <w:tblHeader/>
        </w:trPr>
        <w:tc>
          <w:tcPr>
            <w:tcW w:type="dxa" w:w="2400"/>
            <w:shd w:fill="1A6B3A" w:val="clear"/>
          </w:tcPr>
          <w:p>
            <w:pPr>
              <w:spacing w:after="30" w:before="30"/>
              <w:jc w:val="center"/>
            </w:pPr>
            <w:r>
              <w:rPr>
                <w:b/>
                <w:bCs/>
                <w:color w:val="FFFFFF"/>
                <w:sz w:val="17"/>
                <w:szCs w:val="17"/>
              </w:rPr>
              <w:t xml:space="preserve">Règle</w:t>
            </w:r>
          </w:p>
        </w:tc>
        <w:tc>
          <w:tcPr>
            <w:tcW w:type="dxa" w:w="3600"/>
            <w:shd w:fill="1A6B3A" w:val="clear"/>
          </w:tcPr>
          <w:p>
            <w:pPr>
              <w:spacing w:after="30" w:before="30"/>
              <w:jc w:val="center"/>
            </w:pPr>
            <w:r>
              <w:rPr>
                <w:b/>
                <w:bCs/>
                <w:color w:val="FFFFFF"/>
                <w:sz w:val="17"/>
                <w:szCs w:val="17"/>
              </w:rPr>
              <w:t xml:space="preserve">Condition déclenchante</w:t>
            </w:r>
          </w:p>
        </w:tc>
        <w:tc>
          <w:tcPr>
            <w:tcW w:type="dxa" w:w="1800"/>
            <w:shd w:fill="1A6B3A" w:val="clear"/>
          </w:tcPr>
          <w:p>
            <w:pPr>
              <w:spacing w:after="30" w:before="30"/>
              <w:jc w:val="center"/>
            </w:pPr>
            <w:r>
              <w:rPr>
                <w:b/>
                <w:bCs/>
                <w:color w:val="FFFFFF"/>
                <w:sz w:val="17"/>
                <w:szCs w:val="17"/>
              </w:rPr>
              <w:t xml:space="preserve">Priorité</w:t>
            </w:r>
          </w:p>
        </w:tc>
      </w:tr>
      <w:tr>
        <w:tc>
          <w:tcPr>
            <w:tcW w:type="dxa" w:w="2400"/>
            <w:shd w:fill="FFFFFF" w:val="clear"/>
          </w:tcPr>
          <w:p>
            <w:pPr>
              <w:spacing w:after="28" w:before="28"/>
              <w:ind w:left="60"/>
            </w:pPr>
            <w:r>
              <w:rPr>
                <w:color w:val="1A1A1A"/>
                <w:sz w:val="17"/>
                <w:szCs w:val="17"/>
              </w:rPr>
              <w:t xml:space="preserve">Liquidités élevées</w:t>
            </w:r>
          </w:p>
        </w:tc>
        <w:tc>
          <w:tcPr>
            <w:tcW w:type="dxa" w:w="3600"/>
            <w:shd w:fill="FFFFFF" w:val="clear"/>
          </w:tcPr>
          <w:p>
            <w:pPr>
              <w:spacing w:after="28" w:before="28"/>
              <w:ind w:left="60"/>
            </w:pPr>
            <w:r>
              <w:rPr>
                <w:color w:val="1A1A1A"/>
                <w:sz w:val="17"/>
                <w:szCs w:val="17"/>
              </w:rPr>
              <w:t xml:space="preserve">Liquidités &gt; 25% du patrimoine total</w:t>
            </w:r>
          </w:p>
        </w:tc>
        <w:tc>
          <w:tcPr>
            <w:tcW w:type="dxa" w:w="1800"/>
            <w:shd w:fill="FFFFFF" w:val="clear"/>
          </w:tcPr>
          <w:p>
            <w:pPr>
              <w:spacing w:after="28" w:before="28"/>
              <w:ind w:left="60"/>
            </w:pPr>
            <w:r>
              <w:rPr>
                <w:color w:val="1A1A1A"/>
                <w:sz w:val="17"/>
                <w:szCs w:val="17"/>
              </w:rPr>
              <w:t xml:space="preserve">Urgent</w:t>
            </w:r>
          </w:p>
        </w:tc>
      </w:tr>
      <w:tr>
        <w:tc>
          <w:tcPr>
            <w:tcW w:type="dxa" w:w="2400"/>
            <w:shd w:fill="F4F4F4" w:val="clear"/>
          </w:tcPr>
          <w:p>
            <w:pPr>
              <w:spacing w:after="28" w:before="28"/>
              <w:ind w:left="60"/>
            </w:pPr>
            <w:r>
              <w:rPr>
                <w:color w:val="1A1A1A"/>
                <w:sz w:val="17"/>
                <w:szCs w:val="17"/>
              </w:rPr>
              <w:t xml:space="preserve">PEA proche exonération</w:t>
            </w:r>
          </w:p>
        </w:tc>
        <w:tc>
          <w:tcPr>
            <w:tcW w:type="dxa" w:w="3600"/>
            <w:shd w:fill="F4F4F4" w:val="clear"/>
          </w:tcPr>
          <w:p>
            <w:pPr>
              <w:spacing w:after="28" w:before="28"/>
              <w:ind w:left="60"/>
            </w:pPr>
            <w:r>
              <w:rPr>
                <w:color w:val="1A1A1A"/>
                <w:sz w:val="17"/>
                <w:szCs w:val="17"/>
              </w:rPr>
              <w:t xml:space="preserve">Un titre PEA entre 48 et 59 mois de détention</w:t>
            </w:r>
          </w:p>
        </w:tc>
        <w:tc>
          <w:tcPr>
            <w:tcW w:type="dxa" w:w="1800"/>
            <w:shd w:fill="F4F4F4" w:val="clear"/>
          </w:tcPr>
          <w:p>
            <w:pPr>
              <w:spacing w:after="28" w:before="28"/>
              <w:ind w:left="60"/>
            </w:pPr>
            <w:r>
              <w:rPr>
                <w:color w:val="1A1A1A"/>
                <w:sz w:val="17"/>
                <w:szCs w:val="17"/>
              </w:rPr>
              <w:t xml:space="preserve">Urgent</w:t>
            </w:r>
          </w:p>
        </w:tc>
      </w:tr>
      <w:tr>
        <w:tc>
          <w:tcPr>
            <w:tcW w:type="dxa" w:w="2400"/>
            <w:shd w:fill="FFFFFF" w:val="clear"/>
          </w:tcPr>
          <w:p>
            <w:pPr>
              <w:spacing w:after="28" w:before="28"/>
              <w:ind w:left="60"/>
            </w:pPr>
            <w:r>
              <w:rPr>
                <w:color w:val="1A1A1A"/>
                <w:sz w:val="17"/>
                <w:szCs w:val="17"/>
              </w:rPr>
              <w:t xml:space="preserve">Espace PEA disponible</w:t>
            </w:r>
          </w:p>
        </w:tc>
        <w:tc>
          <w:tcPr>
            <w:tcW w:type="dxa" w:w="3600"/>
            <w:shd w:fill="FFFFFF" w:val="clear"/>
          </w:tcPr>
          <w:p>
            <w:pPr>
              <w:spacing w:after="28" w:before="28"/>
              <w:ind w:left="60"/>
            </w:pPr>
            <w:r>
              <w:rPr>
                <w:color w:val="1A1A1A"/>
                <w:sz w:val="17"/>
                <w:szCs w:val="17"/>
              </w:rPr>
              <w:t xml:space="preserve">PEA &lt; 600 000 DH</w:t>
            </w:r>
          </w:p>
        </w:tc>
        <w:tc>
          <w:tcPr>
            <w:tcW w:type="dxa" w:w="1800"/>
            <w:shd w:fill="FFFFFF" w:val="clear"/>
          </w:tcPr>
          <w:p>
            <w:pPr>
              <w:spacing w:after="28" w:before="28"/>
              <w:ind w:left="60"/>
            </w:pPr>
            <w:r>
              <w:rPr>
                <w:color w:val="1A1A1A"/>
                <w:sz w:val="17"/>
                <w:szCs w:val="17"/>
              </w:rPr>
              <w:t xml:space="preserve">Important</w:t>
            </w:r>
          </w:p>
        </w:tc>
      </w:tr>
      <w:tr>
        <w:tc>
          <w:tcPr>
            <w:tcW w:type="dxa" w:w="2400"/>
            <w:shd w:fill="F4F4F4" w:val="clear"/>
          </w:tcPr>
          <w:p>
            <w:pPr>
              <w:spacing w:after="28" w:before="28"/>
              <w:ind w:left="60"/>
            </w:pPr>
            <w:r>
              <w:rPr>
                <w:color w:val="1A1A1A"/>
                <w:sz w:val="17"/>
                <w:szCs w:val="17"/>
              </w:rPr>
              <w:t xml:space="preserve">Or sous-pondéré</w:t>
            </w:r>
          </w:p>
        </w:tc>
        <w:tc>
          <w:tcPr>
            <w:tcW w:type="dxa" w:w="3600"/>
            <w:shd w:fill="F4F4F4" w:val="clear"/>
          </w:tcPr>
          <w:p>
            <w:pPr>
              <w:spacing w:after="28" w:before="28"/>
              <w:ind w:left="60"/>
            </w:pPr>
            <w:r>
              <w:rPr>
                <w:color w:val="1A1A1A"/>
                <w:sz w:val="17"/>
                <w:szCs w:val="17"/>
              </w:rPr>
              <w:t xml:space="preserve">Or &lt; 5% du patrimoine</w:t>
            </w:r>
          </w:p>
        </w:tc>
        <w:tc>
          <w:tcPr>
            <w:tcW w:type="dxa" w:w="1800"/>
            <w:shd w:fill="F4F4F4" w:val="clear"/>
          </w:tcPr>
          <w:p>
            <w:pPr>
              <w:spacing w:after="28" w:before="28"/>
              <w:ind w:left="60"/>
            </w:pPr>
            <w:r>
              <w:rPr>
                <w:color w:val="1A1A1A"/>
                <w:sz w:val="17"/>
                <w:szCs w:val="17"/>
              </w:rPr>
              <w:t xml:space="preserve">Important</w:t>
            </w:r>
          </w:p>
        </w:tc>
      </w:tr>
      <w:tr>
        <w:tc>
          <w:tcPr>
            <w:tcW w:type="dxa" w:w="2400"/>
            <w:shd w:fill="FFFFFF" w:val="clear"/>
          </w:tcPr>
          <w:p>
            <w:pPr>
              <w:spacing w:after="28" w:before="28"/>
              <w:ind w:left="60"/>
            </w:pPr>
            <w:r>
              <w:rPr>
                <w:color w:val="1A1A1A"/>
                <w:sz w:val="17"/>
                <w:szCs w:val="17"/>
              </w:rPr>
              <w:t xml:space="preserve">Surconcentration immo</w:t>
            </w:r>
          </w:p>
        </w:tc>
        <w:tc>
          <w:tcPr>
            <w:tcW w:type="dxa" w:w="3600"/>
            <w:shd w:fill="FFFFFF" w:val="clear"/>
          </w:tcPr>
          <w:p>
            <w:pPr>
              <w:spacing w:after="28" w:before="28"/>
              <w:ind w:left="60"/>
            </w:pPr>
            <w:r>
              <w:rPr>
                <w:color w:val="1A1A1A"/>
                <w:sz w:val="17"/>
                <w:szCs w:val="17"/>
              </w:rPr>
              <w:t xml:space="preserve">Immobilier &gt; 70% du patrimoine</w:t>
            </w:r>
          </w:p>
        </w:tc>
        <w:tc>
          <w:tcPr>
            <w:tcW w:type="dxa" w:w="1800"/>
            <w:shd w:fill="FFFFFF" w:val="clear"/>
          </w:tcPr>
          <w:p>
            <w:pPr>
              <w:spacing w:after="28" w:before="28"/>
              <w:ind w:left="60"/>
            </w:pPr>
            <w:r>
              <w:rPr>
                <w:color w:val="1A1A1A"/>
                <w:sz w:val="17"/>
                <w:szCs w:val="17"/>
              </w:rPr>
              <w:t xml:space="preserve">Important</w:t>
            </w:r>
          </w:p>
        </w:tc>
      </w:tr>
      <w:tr>
        <w:tc>
          <w:tcPr>
            <w:tcW w:type="dxa" w:w="2400"/>
            <w:shd w:fill="F4F4F4" w:val="clear"/>
          </w:tcPr>
          <w:p>
            <w:pPr>
              <w:spacing w:after="28" w:before="28"/>
              <w:ind w:left="60"/>
            </w:pPr>
            <w:r>
              <w:rPr>
                <w:color w:val="1A1A1A"/>
                <w:sz w:val="17"/>
                <w:szCs w:val="17"/>
              </w:rPr>
              <w:t xml:space="preserve">CT en moins-value</w:t>
            </w:r>
          </w:p>
        </w:tc>
        <w:tc>
          <w:tcPr>
            <w:tcW w:type="dxa" w:w="3600"/>
            <w:shd w:fill="F4F4F4" w:val="clear"/>
          </w:tcPr>
          <w:p>
            <w:pPr>
              <w:spacing w:after="28" w:before="28"/>
              <w:ind w:left="60"/>
            </w:pPr>
            <w:r>
              <w:rPr>
                <w:color w:val="1A1A1A"/>
                <w:sz w:val="17"/>
                <w:szCs w:val="17"/>
              </w:rPr>
              <w:t xml:space="preserve">Valeur CT actuelle &lt; Coût d'achat CT</w:t>
            </w:r>
          </w:p>
        </w:tc>
        <w:tc>
          <w:tcPr>
            <w:tcW w:type="dxa" w:w="1800"/>
            <w:shd w:fill="F4F4F4" w:val="clear"/>
          </w:tcPr>
          <w:p>
            <w:pPr>
              <w:spacing w:after="28" w:before="28"/>
              <w:ind w:left="60"/>
            </w:pPr>
            <w:r>
              <w:rPr>
                <w:color w:val="1A1A1A"/>
                <w:sz w:val="17"/>
                <w:szCs w:val="17"/>
              </w:rPr>
              <w:t xml:space="preserve">Important</w:t>
            </w:r>
          </w:p>
        </w:tc>
      </w:tr>
      <w:tr>
        <w:tc>
          <w:tcPr>
            <w:tcW w:type="dxa" w:w="2400"/>
            <w:shd w:fill="FFFFFF" w:val="clear"/>
          </w:tcPr>
          <w:p>
            <w:pPr>
              <w:spacing w:after="28" w:before="28"/>
              <w:ind w:left="60"/>
            </w:pPr>
            <w:r>
              <w:rPr>
                <w:color w:val="1A1A1A"/>
                <w:sz w:val="17"/>
                <w:szCs w:val="17"/>
              </w:rPr>
              <w:t xml:space="preserve">Pas de carnet</w:t>
            </w:r>
          </w:p>
        </w:tc>
        <w:tc>
          <w:tcPr>
            <w:tcW w:type="dxa" w:w="3600"/>
            <w:shd w:fill="FFFFFF" w:val="clear"/>
          </w:tcPr>
          <w:p>
            <w:pPr>
              <w:spacing w:after="28" w:before="28"/>
              <w:ind w:left="60"/>
            </w:pPr>
            <w:r>
              <w:rPr>
                <w:color w:val="1A1A1A"/>
                <w:sz w:val="17"/>
                <w:szCs w:val="17"/>
              </w:rPr>
              <w:t xml:space="preserve">Aucun solde en Compte sur Carnet</w:t>
            </w:r>
          </w:p>
        </w:tc>
        <w:tc>
          <w:tcPr>
            <w:tcW w:type="dxa" w:w="1800"/>
            <w:shd w:fill="FFFFFF" w:val="clear"/>
          </w:tcPr>
          <w:p>
            <w:pPr>
              <w:spacing w:after="28" w:before="28"/>
              <w:ind w:left="60"/>
            </w:pPr>
            <w:r>
              <w:rPr>
                <w:color w:val="1A1A1A"/>
                <w:sz w:val="17"/>
                <w:szCs w:val="17"/>
              </w:rPr>
              <w:t xml:space="preserve">À considérer</w:t>
            </w:r>
          </w:p>
        </w:tc>
      </w:tr>
      <w:tr>
        <w:tc>
          <w:tcPr>
            <w:tcW w:type="dxa" w:w="2400"/>
            <w:shd w:fill="F4F4F4" w:val="clear"/>
          </w:tcPr>
          <w:p>
            <w:pPr>
              <w:spacing w:after="28" w:before="28"/>
              <w:ind w:left="60"/>
            </w:pPr>
            <w:r>
              <w:rPr>
                <w:color w:val="1A1A1A"/>
                <w:sz w:val="17"/>
                <w:szCs w:val="17"/>
              </w:rPr>
              <w:t xml:space="preserve">PEA performant</w:t>
            </w:r>
          </w:p>
        </w:tc>
        <w:tc>
          <w:tcPr>
            <w:tcW w:type="dxa" w:w="3600"/>
            <w:shd w:fill="F4F4F4" w:val="clear"/>
          </w:tcPr>
          <w:p>
            <w:pPr>
              <w:spacing w:after="28" w:before="28"/>
              <w:ind w:left="60"/>
            </w:pPr>
            <w:r>
              <w:rPr>
                <w:color w:val="1A1A1A"/>
                <w:sz w:val="17"/>
                <w:szCs w:val="17"/>
              </w:rPr>
              <w:t xml:space="preserve">Performance PEA &gt; +25%</w:t>
            </w:r>
          </w:p>
        </w:tc>
        <w:tc>
          <w:tcPr>
            <w:tcW w:type="dxa" w:w="1800"/>
            <w:shd w:fill="F4F4F4" w:val="clear"/>
          </w:tcPr>
          <w:p>
            <w:pPr>
              <w:spacing w:after="28" w:before="28"/>
              <w:ind w:left="60"/>
            </w:pPr>
            <w:r>
              <w:rPr>
                <w:color w:val="1A1A1A"/>
                <w:sz w:val="17"/>
                <w:szCs w:val="17"/>
              </w:rPr>
              <w:t xml:space="preserve">À considérer</w:t>
            </w:r>
          </w:p>
        </w:tc>
      </w:tr>
      <w:tr>
        <w:tc>
          <w:tcPr>
            <w:tcW w:type="dxa" w:w="2400"/>
            <w:shd w:fill="FFFFFF" w:val="clear"/>
          </w:tcPr>
          <w:p>
            <w:pPr>
              <w:spacing w:after="28" w:before="28"/>
              <w:ind w:left="60"/>
            </w:pPr>
            <w:r>
              <w:rPr>
                <w:color w:val="1A1A1A"/>
                <w:sz w:val="17"/>
                <w:szCs w:val="17"/>
              </w:rPr>
              <w:t xml:space="preserve">PEA exonéré</w:t>
            </w:r>
          </w:p>
        </w:tc>
        <w:tc>
          <w:tcPr>
            <w:tcW w:type="dxa" w:w="3600"/>
            <w:shd w:fill="FFFFFF" w:val="clear"/>
          </w:tcPr>
          <w:p>
            <w:pPr>
              <w:spacing w:after="28" w:before="28"/>
              <w:ind w:left="60"/>
            </w:pPr>
            <w:r>
              <w:rPr>
                <w:color w:val="1A1A1A"/>
                <w:sz w:val="17"/>
                <w:szCs w:val="17"/>
              </w:rPr>
              <w:t xml:space="preserve">Un titre PEA &gt;= 60 mois de détention</w:t>
            </w:r>
          </w:p>
        </w:tc>
        <w:tc>
          <w:tcPr>
            <w:tcW w:type="dxa" w:w="1800"/>
            <w:shd w:fill="FFFFFF" w:val="clear"/>
          </w:tcPr>
          <w:p>
            <w:pPr>
              <w:spacing w:after="28" w:before="28"/>
              <w:ind w:left="60"/>
            </w:pPr>
            <w:r>
              <w:rPr>
                <w:color w:val="1A1A1A"/>
                <w:sz w:val="17"/>
                <w:szCs w:val="17"/>
              </w:rPr>
              <w:t xml:space="preserve">À considérer</w:t>
            </w:r>
          </w:p>
        </w:tc>
      </w:tr>
      <w:tr>
        <w:tc>
          <w:tcPr>
            <w:tcW w:type="dxa" w:w="2400"/>
            <w:shd w:fill="F4F4F4" w:val="clear"/>
          </w:tcPr>
          <w:p>
            <w:pPr>
              <w:spacing w:after="28" w:before="28"/>
              <w:ind w:left="60"/>
            </w:pPr>
            <w:r>
              <w:rPr>
                <w:color w:val="1A1A1A"/>
                <w:sz w:val="17"/>
                <w:szCs w:val="17"/>
              </w:rPr>
              <w:t xml:space="preserve">Or bien pondéré</w:t>
            </w:r>
          </w:p>
        </w:tc>
        <w:tc>
          <w:tcPr>
            <w:tcW w:type="dxa" w:w="3600"/>
            <w:shd w:fill="F4F4F4" w:val="clear"/>
          </w:tcPr>
          <w:p>
            <w:pPr>
              <w:spacing w:after="28" w:before="28"/>
              <w:ind w:left="60"/>
            </w:pPr>
            <w:r>
              <w:rPr>
                <w:color w:val="1A1A1A"/>
                <w:sz w:val="17"/>
                <w:szCs w:val="17"/>
              </w:rPr>
              <w:t xml:space="preserve">Or entre 5% et 10% du patrimoine</w:t>
            </w:r>
          </w:p>
        </w:tc>
        <w:tc>
          <w:tcPr>
            <w:tcW w:type="dxa" w:w="1800"/>
            <w:shd w:fill="F4F4F4" w:val="clear"/>
          </w:tcPr>
          <w:p>
            <w:pPr>
              <w:spacing w:after="28" w:before="28"/>
              <w:ind w:left="60"/>
            </w:pPr>
            <w:r>
              <w:rPr>
                <w:color w:val="1A1A1A"/>
                <w:sz w:val="17"/>
                <w:szCs w:val="17"/>
              </w:rPr>
              <w:t xml:space="preserve">À considérer</w:t>
            </w:r>
          </w:p>
        </w:tc>
      </w:tr>
    </w:tbl>
    <w:p>
      <w:pPr>
        <w:pStyle w:val="Heading2"/>
        <w:pBdr>
          <w:bottom w:val="single" w:color="C6E5D1" w:sz="6" w:space="4"/>
        </w:pBdr>
        <w:spacing w:after="60" w:before="260"/>
      </w:pPr>
      <w:r>
        <w:rPr>
          <w:b/>
          <w:bCs/>
          <w:color w:val="1A6B3A"/>
          <w:sz w:val="26"/>
          <w:szCs w:val="26"/>
        </w:rPr>
        <w:t xml:space="preserve">9.2 Score de santé patrimoniale (4 axes)</w:t>
      </w:r>
    </w:p>
    <w:p>
      <w:pPr>
        <w:spacing w:after="60" w:before="50"/>
        <w:jc w:val="both"/>
      </w:pPr>
      <w:r>
        <w:rPr>
          <w:color w:val="1A1A1A"/>
          <w:sz w:val="20"/>
          <w:szCs w:val="20"/>
        </w:rPr>
        <w:t xml:space="preserve">Calculé en bas de page Conseils. Chaque axe est noté de 0 à 100 :</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gridCol w:w="100"/>
      </w:tblGrid>
      <w:tr>
        <w:trPr>
          <w:tblHeader/>
        </w:trPr>
        <w:tc>
          <w:tcPr>
            <w:tcW w:type="dxa" w:w="2000"/>
            <w:shd w:fill="1A6B3A" w:val="clear"/>
          </w:tcPr>
          <w:p>
            <w:pPr>
              <w:spacing w:after="30" w:before="30"/>
              <w:jc w:val="center"/>
            </w:pPr>
            <w:r>
              <w:rPr>
                <w:b/>
                <w:bCs/>
                <w:color w:val="FFFFFF"/>
                <w:sz w:val="17"/>
                <w:szCs w:val="17"/>
              </w:rPr>
              <w:t xml:space="preserve">Axe</w:t>
            </w:r>
          </w:p>
        </w:tc>
        <w:tc>
          <w:tcPr>
            <w:tcW w:type="dxa" w:w="3600"/>
            <w:shd w:fill="1A6B3A" w:val="clear"/>
          </w:tcPr>
          <w:p>
            <w:pPr>
              <w:spacing w:after="30" w:before="30"/>
              <w:jc w:val="center"/>
            </w:pPr>
            <w:r>
              <w:rPr>
                <w:b/>
                <w:bCs/>
                <w:color w:val="FFFFFF"/>
                <w:sz w:val="17"/>
                <w:szCs w:val="17"/>
              </w:rPr>
              <w:t xml:space="preserve">Ce qu'il mesure</w:t>
            </w:r>
          </w:p>
        </w:tc>
        <w:tc>
          <w:tcPr>
            <w:tcW w:type="dxa" w:w="2200"/>
            <w:shd w:fill="1A6B3A" w:val="clear"/>
          </w:tcPr>
          <w:p>
            <w:pPr>
              <w:spacing w:after="30" w:before="30"/>
              <w:jc w:val="center"/>
            </w:pPr>
            <w:r>
              <w:rPr>
                <w:b/>
                <w:bCs/>
                <w:color w:val="FFFFFF"/>
                <w:sz w:val="17"/>
                <w:szCs w:val="17"/>
              </w:rPr>
              <w:t xml:space="preserve">Cible</w:t>
            </w:r>
          </w:p>
        </w:tc>
      </w:tr>
      <w:tr>
        <w:tc>
          <w:tcPr>
            <w:tcW w:type="dxa" w:w="2000"/>
            <w:shd w:fill="FFFFFF" w:val="clear"/>
          </w:tcPr>
          <w:p>
            <w:pPr>
              <w:spacing w:after="28" w:before="28"/>
              <w:ind w:left="60"/>
            </w:pPr>
            <w:r>
              <w:rPr>
                <w:color w:val="1A1A1A"/>
                <w:sz w:val="17"/>
                <w:szCs w:val="17"/>
              </w:rPr>
              <w:t xml:space="preserve">Diversification</w:t>
            </w:r>
          </w:p>
        </w:tc>
        <w:tc>
          <w:tcPr>
            <w:tcW w:type="dxa" w:w="3600"/>
            <w:shd w:fill="FFFFFF" w:val="clear"/>
          </w:tcPr>
          <w:p>
            <w:pPr>
              <w:spacing w:after="28" w:before="28"/>
              <w:ind w:left="60"/>
            </w:pPr>
            <w:r>
              <w:rPr>
                <w:color w:val="1A1A1A"/>
                <w:sz w:val="17"/>
                <w:szCs w:val="17"/>
              </w:rPr>
              <w:t xml:space="preserve">Présence et poids des 4 classes investissables (or, immo, PEA, CT)</w:t>
            </w:r>
          </w:p>
        </w:tc>
        <w:tc>
          <w:tcPr>
            <w:tcW w:type="dxa" w:w="2200"/>
            <w:shd w:fill="FFFFFF" w:val="clear"/>
          </w:tcPr>
          <w:p>
            <w:pPr>
              <w:spacing w:after="28" w:before="28"/>
              <w:ind w:left="60"/>
            </w:pPr>
            <w:r>
              <w:rPr>
                <w:color w:val="1A1A1A"/>
                <w:sz w:val="17"/>
                <w:szCs w:val="17"/>
              </w:rPr>
              <w:t xml:space="preserve">4 classes présentes et équilibrées</w:t>
            </w:r>
          </w:p>
        </w:tc>
      </w:tr>
      <w:tr>
        <w:tc>
          <w:tcPr>
            <w:tcW w:type="dxa" w:w="2000"/>
            <w:shd w:fill="F4F4F4" w:val="clear"/>
          </w:tcPr>
          <w:p>
            <w:pPr>
              <w:spacing w:after="28" w:before="28"/>
              <w:ind w:left="60"/>
            </w:pPr>
            <w:r>
              <w:rPr>
                <w:color w:val="1A1A1A"/>
                <w:sz w:val="17"/>
                <w:szCs w:val="17"/>
              </w:rPr>
              <w:t xml:space="preserve">Épargne réglementée</w:t>
            </w:r>
          </w:p>
        </w:tc>
        <w:tc>
          <w:tcPr>
            <w:tcW w:type="dxa" w:w="3600"/>
            <w:shd w:fill="F4F4F4" w:val="clear"/>
          </w:tcPr>
          <w:p>
            <w:pPr>
              <w:spacing w:after="28" w:before="28"/>
              <w:ind w:left="60"/>
            </w:pPr>
            <w:r>
              <w:rPr>
                <w:color w:val="1A1A1A"/>
                <w:sz w:val="17"/>
                <w:szCs w:val="17"/>
              </w:rPr>
              <w:t xml:space="preserve">Part du patrimoine en Compte sur Carnet</w:t>
            </w:r>
          </w:p>
        </w:tc>
        <w:tc>
          <w:tcPr>
            <w:tcW w:type="dxa" w:w="2200"/>
            <w:shd w:fill="F4F4F4" w:val="clear"/>
          </w:tcPr>
          <w:p>
            <w:pPr>
              <w:spacing w:after="28" w:before="28"/>
              <w:ind w:left="60"/>
            </w:pPr>
            <w:r>
              <w:rPr>
                <w:color w:val="1A1A1A"/>
                <w:sz w:val="17"/>
                <w:szCs w:val="17"/>
              </w:rPr>
              <w:t xml:space="preserve">10% du patrimoine</w:t>
            </w:r>
          </w:p>
        </w:tc>
      </w:tr>
      <w:tr>
        <w:tc>
          <w:tcPr>
            <w:tcW w:type="dxa" w:w="2000"/>
            <w:shd w:fill="FFFFFF" w:val="clear"/>
          </w:tcPr>
          <w:p>
            <w:pPr>
              <w:spacing w:after="28" w:before="28"/>
              <w:ind w:left="60"/>
            </w:pPr>
            <w:r>
              <w:rPr>
                <w:color w:val="1A1A1A"/>
                <w:sz w:val="17"/>
                <w:szCs w:val="17"/>
              </w:rPr>
              <w:t xml:space="preserve">Investissements BVC</w:t>
            </w:r>
          </w:p>
        </w:tc>
        <w:tc>
          <w:tcPr>
            <w:tcW w:type="dxa" w:w="3600"/>
            <w:shd w:fill="FFFFFF" w:val="clear"/>
          </w:tcPr>
          <w:p>
            <w:pPr>
              <w:spacing w:after="28" w:before="28"/>
              <w:ind w:left="60"/>
            </w:pPr>
            <w:r>
              <w:rPr>
                <w:color w:val="1A1A1A"/>
                <w:sz w:val="17"/>
                <w:szCs w:val="17"/>
              </w:rPr>
              <w:t xml:space="preserve">Part du patrimoine en PEA + Compte-Titre</w:t>
            </w:r>
          </w:p>
        </w:tc>
        <w:tc>
          <w:tcPr>
            <w:tcW w:type="dxa" w:w="2200"/>
            <w:shd w:fill="FFFFFF" w:val="clear"/>
          </w:tcPr>
          <w:p>
            <w:pPr>
              <w:spacing w:after="28" w:before="28"/>
              <w:ind w:left="60"/>
            </w:pPr>
            <w:r>
              <w:rPr>
                <w:color w:val="1A1A1A"/>
                <w:sz w:val="17"/>
                <w:szCs w:val="17"/>
              </w:rPr>
              <w:t xml:space="preserve">15% du patrimoine</w:t>
            </w:r>
          </w:p>
        </w:tc>
      </w:tr>
      <w:tr>
        <w:tc>
          <w:tcPr>
            <w:tcW w:type="dxa" w:w="2000"/>
            <w:shd w:fill="F4F4F4" w:val="clear"/>
          </w:tcPr>
          <w:p>
            <w:pPr>
              <w:spacing w:after="28" w:before="28"/>
              <w:ind w:left="60"/>
            </w:pPr>
            <w:r>
              <w:rPr>
                <w:color w:val="1A1A1A"/>
                <w:sz w:val="17"/>
                <w:szCs w:val="17"/>
              </w:rPr>
              <w:t xml:space="preserve">Liquidité optimale</w:t>
            </w:r>
          </w:p>
        </w:tc>
        <w:tc>
          <w:tcPr>
            <w:tcW w:type="dxa" w:w="3600"/>
            <w:shd w:fill="F4F4F4" w:val="clear"/>
          </w:tcPr>
          <w:p>
            <w:pPr>
              <w:spacing w:after="28" w:before="28"/>
              <w:ind w:left="60"/>
            </w:pPr>
            <w:r>
              <w:rPr>
                <w:color w:val="1A1A1A"/>
                <w:sz w:val="17"/>
                <w:szCs w:val="17"/>
              </w:rPr>
              <w:t xml:space="preserve">Part en liquidités — pénalité symétrique si trop haut ou trop bas</w:t>
            </w:r>
          </w:p>
        </w:tc>
        <w:tc>
          <w:tcPr>
            <w:tcW w:type="dxa" w:w="2200"/>
            <w:shd w:fill="F4F4F4" w:val="clear"/>
          </w:tcPr>
          <w:p>
            <w:pPr>
              <w:spacing w:after="28" w:before="28"/>
              <w:ind w:left="60"/>
            </w:pPr>
            <w:r>
              <w:rPr>
                <w:color w:val="1A1A1A"/>
                <w:sz w:val="17"/>
                <w:szCs w:val="17"/>
              </w:rPr>
              <w:t xml:space="preserve">Cible 15%</w:t>
            </w:r>
          </w:p>
        </w:tc>
      </w:tr>
    </w:tbl>
    <w:p>
      <w:pPr>
        <w:spacing w:after="50" w:before="50"/>
      </w:pPr>
    </w:p>
    <w:p>
      <w:pPr>
        <w:pBdr>
          <w:left w:val="single" w:color="1A6B3A" w:sz="14" w:space="10"/>
        </w:pBdr>
        <w:shd w:fill="E8F5EE" w:val="clear"/>
        <w:spacing w:after="70" w:before="70"/>
        <w:ind w:left="200"/>
      </w:pPr>
      <w:r>
        <w:rPr>
          <w:i/>
          <w:iCs/>
          <w:color w:val="1A1A1A"/>
          <w:sz w:val="18"/>
          <w:szCs w:val="18"/>
        </w:rPr>
        <w:t xml:space="preserve">Score global = moyenne des 4 axes. Résultat : Excellent (&gt;= 75/100), Passable (&gt;= 50/100), À améliorer (&lt; 50/100).</w:t>
      </w:r>
    </w:p>
    <w:p>
      <w:r>
        <w:br w:type="page"/>
      </w:r>
    </w:p>
    <w:p>
      <w:pPr>
        <w:pStyle w:val="Heading1"/>
        <w:shd w:fill="1A6B3A" w:val="clear"/>
        <w:spacing w:after="100" w:before="320"/>
        <w:ind w:left="160" w:right="160"/>
      </w:pPr>
      <w:r>
        <w:rPr>
          <w:b/>
          <w:bCs/>
          <w:color w:val="FFFFFF"/>
          <w:sz w:val="30"/>
          <w:szCs w:val="30"/>
        </w:rPr>
        <w:t xml:space="preserve">10. Paramètres et À propos</w:t>
      </w:r>
    </w:p>
    <w:p>
      <w:pPr>
        <w:pStyle w:val="Heading2"/>
        <w:pBdr>
          <w:bottom w:val="single" w:color="C6E5D1" w:sz="6" w:space="4"/>
        </w:pBdr>
        <w:spacing w:after="60" w:before="260"/>
      </w:pPr>
      <w:r>
        <w:rPr>
          <w:b/>
          <w:bCs/>
          <w:color w:val="1A6B3A"/>
          <w:sz w:val="26"/>
          <w:szCs w:val="26"/>
        </w:rPr>
        <w:t xml:space="preserve">10.1 Page Paramètres — contenu</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1800"/>
            <w:shd w:fill="1A6B3A" w:val="clear"/>
          </w:tcPr>
          <w:p>
            <w:pPr>
              <w:spacing w:after="30" w:before="30"/>
              <w:jc w:val="center"/>
            </w:pPr>
            <w:r>
              <w:rPr>
                <w:b/>
                <w:bCs/>
                <w:color w:val="FFFFFF"/>
                <w:sz w:val="17"/>
                <w:szCs w:val="17"/>
              </w:rPr>
              <w:t xml:space="preserve">Section</w:t>
            </w:r>
          </w:p>
        </w:tc>
        <w:tc>
          <w:tcPr>
            <w:tcW w:type="dxa" w:w="6000"/>
            <w:shd w:fill="1A6B3A" w:val="clear"/>
          </w:tcPr>
          <w:p>
            <w:pPr>
              <w:spacing w:after="30" w:before="30"/>
              <w:jc w:val="center"/>
            </w:pPr>
            <w:r>
              <w:rPr>
                <w:b/>
                <w:bCs/>
                <w:color w:val="FFFFFF"/>
                <w:sz w:val="17"/>
                <w:szCs w:val="17"/>
              </w:rPr>
              <w:t xml:space="preserve">Fonctionnalité</w:t>
            </w:r>
          </w:p>
        </w:tc>
      </w:tr>
      <w:tr>
        <w:tc>
          <w:tcPr>
            <w:tcW w:type="dxa" w:w="1800"/>
            <w:shd w:fill="FFFFFF" w:val="clear"/>
          </w:tcPr>
          <w:p>
            <w:pPr>
              <w:spacing w:after="28" w:before="28"/>
              <w:ind w:left="60"/>
            </w:pPr>
            <w:r>
              <w:rPr>
                <w:color w:val="1A1A1A"/>
                <w:sz w:val="17"/>
                <w:szCs w:val="17"/>
              </w:rPr>
              <w:t xml:space="preserve">Profil</w:t>
            </w:r>
          </w:p>
        </w:tc>
        <w:tc>
          <w:tcPr>
            <w:tcW w:type="dxa" w:w="6000"/>
            <w:shd w:fill="FFFFFF" w:val="clear"/>
          </w:tcPr>
          <w:p>
            <w:pPr>
              <w:spacing w:after="28" w:before="28"/>
              <w:ind w:left="60"/>
            </w:pPr>
            <w:r>
              <w:rPr>
                <w:color w:val="1A1A1A"/>
                <w:sz w:val="17"/>
                <w:szCs w:val="17"/>
              </w:rPr>
              <w:t xml:space="preserve">Affichage et modification du prénom / nom. Affichage de l'email. Déconnexion avec confirmation.</w:t>
            </w:r>
          </w:p>
        </w:tc>
      </w:tr>
      <w:tr>
        <w:tc>
          <w:tcPr>
            <w:tcW w:type="dxa" w:w="1800"/>
            <w:shd w:fill="F4F4F4" w:val="clear"/>
          </w:tcPr>
          <w:p>
            <w:pPr>
              <w:spacing w:after="28" w:before="28"/>
              <w:ind w:left="60"/>
            </w:pPr>
            <w:r>
              <w:rPr>
                <w:color w:val="1A1A1A"/>
                <w:sz w:val="17"/>
                <w:szCs w:val="17"/>
              </w:rPr>
              <w:t xml:space="preserve">Sécurité</w:t>
            </w:r>
          </w:p>
        </w:tc>
        <w:tc>
          <w:tcPr>
            <w:tcW w:type="dxa" w:w="6000"/>
            <w:shd w:fill="F4F4F4" w:val="clear"/>
          </w:tcPr>
          <w:p>
            <w:pPr>
              <w:spacing w:after="28" w:before="28"/>
              <w:ind w:left="60"/>
            </w:pPr>
            <w:r>
              <w:rPr>
                <w:color w:val="1A1A1A"/>
                <w:sz w:val="17"/>
                <w:szCs w:val="17"/>
              </w:rPr>
              <w:t xml:space="preserve">Toggle Face ID, configuration PIN 6 chiffres, verrouillage automatique, mode discret.</w:t>
            </w:r>
          </w:p>
        </w:tc>
      </w:tr>
      <w:tr>
        <w:tc>
          <w:tcPr>
            <w:tcW w:type="dxa" w:w="1800"/>
            <w:shd w:fill="FFFFFF" w:val="clear"/>
          </w:tcPr>
          <w:p>
            <w:pPr>
              <w:spacing w:after="28" w:before="28"/>
              <w:ind w:left="60"/>
            </w:pPr>
            <w:r>
              <w:rPr>
                <w:color w:val="1A1A1A"/>
                <w:sz w:val="17"/>
                <w:szCs w:val="17"/>
              </w:rPr>
              <w:t xml:space="preserve">Objectif</w:t>
            </w:r>
          </w:p>
        </w:tc>
        <w:tc>
          <w:tcPr>
            <w:tcW w:type="dxa" w:w="6000"/>
            <w:shd w:fill="FFFFFF" w:val="clear"/>
          </w:tcPr>
          <w:p>
            <w:pPr>
              <w:spacing w:after="28" w:before="28"/>
              <w:ind w:left="60"/>
            </w:pPr>
            <w:r>
              <w:rPr>
                <w:color w:val="1A1A1A"/>
                <w:sz w:val="17"/>
                <w:szCs w:val="17"/>
              </w:rPr>
              <w:t xml:space="preserve">Définition d'un objectif patrimonial (montant + date), réinitialisation.</w:t>
            </w:r>
          </w:p>
        </w:tc>
      </w:tr>
      <w:tr>
        <w:tc>
          <w:tcPr>
            <w:tcW w:type="dxa" w:w="1800"/>
            <w:shd w:fill="F4F4F4" w:val="clear"/>
          </w:tcPr>
          <w:p>
            <w:pPr>
              <w:spacing w:after="28" w:before="28"/>
              <w:ind w:left="60"/>
            </w:pPr>
            <w:r>
              <w:rPr>
                <w:color w:val="1A1A1A"/>
                <w:sz w:val="17"/>
                <w:szCs w:val="17"/>
              </w:rPr>
              <w:t xml:space="preserve">Suivi</w:t>
            </w:r>
          </w:p>
        </w:tc>
        <w:tc>
          <w:tcPr>
            <w:tcW w:type="dxa" w:w="6000"/>
            <w:shd w:fill="F4F4F4" w:val="clear"/>
          </w:tcPr>
          <w:p>
            <w:pPr>
              <w:spacing w:after="28" w:before="28"/>
              <w:ind w:left="60"/>
            </w:pPr>
            <w:r>
              <w:rPr>
                <w:color w:val="1A1A1A"/>
                <w:sz w:val="17"/>
                <w:szCs w:val="17"/>
              </w:rPr>
              <w:t xml:space="preserve">Configuration de la date de début de suivi (point d'origine du graphe Max).</w:t>
            </w:r>
          </w:p>
        </w:tc>
      </w:tr>
      <w:tr>
        <w:tc>
          <w:tcPr>
            <w:tcW w:type="dxa" w:w="1800"/>
            <w:shd w:fill="FFFFFF" w:val="clear"/>
          </w:tcPr>
          <w:p>
            <w:pPr>
              <w:spacing w:after="28" w:before="28"/>
              <w:ind w:left="60"/>
            </w:pPr>
            <w:r>
              <w:rPr>
                <w:color w:val="1A1A1A"/>
                <w:sz w:val="17"/>
                <w:szCs w:val="17"/>
              </w:rPr>
              <w:t xml:space="preserve">Rappels</w:t>
            </w:r>
          </w:p>
        </w:tc>
        <w:tc>
          <w:tcPr>
            <w:tcW w:type="dxa" w:w="6000"/>
            <w:shd w:fill="FFFFFF" w:val="clear"/>
          </w:tcPr>
          <w:p>
            <w:pPr>
              <w:spacing w:after="28" w:before="28"/>
              <w:ind w:left="60"/>
            </w:pPr>
            <w:r>
              <w:rPr>
                <w:color w:val="1A1A1A"/>
                <w:sz w:val="17"/>
                <w:szCs w:val="17"/>
              </w:rPr>
              <w:t xml:space="preserve">Activation/désactivation des rappels mensuels push iOS.</w:t>
            </w:r>
          </w:p>
        </w:tc>
      </w:tr>
      <w:tr>
        <w:tc>
          <w:tcPr>
            <w:tcW w:type="dxa" w:w="1800"/>
            <w:shd w:fill="F4F4F4" w:val="clear"/>
          </w:tcPr>
          <w:p>
            <w:pPr>
              <w:spacing w:after="28" w:before="28"/>
              <w:ind w:left="60"/>
            </w:pPr>
            <w:r>
              <w:rPr>
                <w:color w:val="1A1A1A"/>
                <w:sz w:val="17"/>
                <w:szCs w:val="17"/>
              </w:rPr>
              <w:t xml:space="preserve">Exports</w:t>
            </w:r>
          </w:p>
        </w:tc>
        <w:tc>
          <w:tcPr>
            <w:tcW w:type="dxa" w:w="6000"/>
            <w:shd w:fill="F4F4F4" w:val="clear"/>
          </w:tcPr>
          <w:p>
            <w:pPr>
              <w:spacing w:after="28" w:before="28"/>
              <w:ind w:left="60"/>
            </w:pPr>
            <w:r>
              <w:rPr>
                <w:color w:val="1A1A1A"/>
                <w:sz w:val="17"/>
                <w:szCs w:val="17"/>
              </w:rPr>
              <w:t xml:space="preserve">Export PDF du bilan, Export CSV du bilan.</w:t>
            </w:r>
          </w:p>
        </w:tc>
      </w:tr>
      <w:tr>
        <w:tc>
          <w:tcPr>
            <w:tcW w:type="dxa" w:w="1800"/>
            <w:shd w:fill="FFFFFF" w:val="clear"/>
          </w:tcPr>
          <w:p>
            <w:pPr>
              <w:spacing w:after="28" w:before="28"/>
              <w:ind w:left="60"/>
            </w:pPr>
            <w:r>
              <w:rPr>
                <w:color w:val="1A1A1A"/>
                <w:sz w:val="17"/>
                <w:szCs w:val="17"/>
              </w:rPr>
              <w:t xml:space="preserve">Import</w:t>
            </w:r>
          </w:p>
        </w:tc>
        <w:tc>
          <w:tcPr>
            <w:tcW w:type="dxa" w:w="6000"/>
            <w:shd w:fill="FFFFFF" w:val="clear"/>
          </w:tcPr>
          <w:p>
            <w:pPr>
              <w:spacing w:after="28" w:before="28"/>
              <w:ind w:left="60"/>
            </w:pPr>
            <w:r>
              <w:rPr>
                <w:color w:val="1A1A1A"/>
                <w:sz w:val="17"/>
                <w:szCs w:val="17"/>
              </w:rPr>
              <w:t xml:space="preserve">Import CSV bancaire pour extraction automatique de solde.</w:t>
            </w:r>
          </w:p>
        </w:tc>
      </w:tr>
      <w:tr>
        <w:tc>
          <w:tcPr>
            <w:tcW w:type="dxa" w:w="1800"/>
            <w:shd w:fill="F4F4F4" w:val="clear"/>
          </w:tcPr>
          <w:p>
            <w:pPr>
              <w:spacing w:after="28" w:before="28"/>
              <w:ind w:left="60"/>
            </w:pPr>
            <w:r>
              <w:rPr>
                <w:color w:val="1A1A1A"/>
                <w:sz w:val="17"/>
                <w:szCs w:val="17"/>
              </w:rPr>
              <w:t xml:space="preserve">PatriMoi+</w:t>
            </w:r>
          </w:p>
        </w:tc>
        <w:tc>
          <w:tcPr>
            <w:tcW w:type="dxa" w:w="6000"/>
            <w:shd w:fill="F4F4F4" w:val="clear"/>
          </w:tcPr>
          <w:p>
            <w:pPr>
              <w:spacing w:after="28" w:before="28"/>
              <w:ind w:left="60"/>
            </w:pPr>
            <w:r>
              <w:rPr>
                <w:color w:val="1A1A1A"/>
                <w:sz w:val="17"/>
                <w:szCs w:val="17"/>
              </w:rPr>
              <w:t xml:space="preserve">Accès à l'abonnement PatriMoi+ (29 DH/mois).</w:t>
            </w:r>
          </w:p>
        </w:tc>
      </w:tr>
    </w:tbl>
    <w:p>
      <w:pPr>
        <w:spacing w:after="50" w:before="50"/>
      </w:pPr>
    </w:p>
    <w:p>
      <w:pPr>
        <w:pStyle w:val="Heading2"/>
        <w:pBdr>
          <w:bottom w:val="single" w:color="C6E5D1" w:sz="6" w:space="4"/>
        </w:pBdr>
        <w:spacing w:after="60" w:before="260"/>
      </w:pPr>
      <w:r>
        <w:rPr>
          <w:b/>
          <w:bCs/>
          <w:color w:val="1A6B3A"/>
          <w:sz w:val="26"/>
          <w:szCs w:val="26"/>
        </w:rPr>
        <w:t xml:space="preserve">10.2 Page À propos</w:t>
      </w:r>
    </w:p>
    <w:p>
      <w:pPr>
        <w:spacing w:after="60" w:before="50"/>
        <w:jc w:val="both"/>
      </w:pPr>
      <w:r>
        <w:rPr>
          <w:color w:val="1A1A1A"/>
          <w:sz w:val="20"/>
          <w:szCs w:val="20"/>
        </w:rPr>
        <w:t xml:space="preserve">Affiche les informations suivantes : logo et nom de l'app, tagline "Votre Patrimoine. Votre Avenir.", mission ("Donner à chaque Marocain les outils pour comprendre, suivre et faire croître son patrimoine"), vision, 4 chiffres clés (100% Made in Morocco, 8 catégories, 75+ titres BVC, version 1.6), informations de contact (email zineddine.othmane1@gmail.com, Instagram @patrimoi.app), pied de page "Made in Morocco — 2026".</w:t>
      </w:r>
    </w:p>
    <w:p>
      <w:r>
        <w:br w:type="page"/>
      </w:r>
    </w:p>
    <w:p>
      <w:pPr>
        <w:pStyle w:val="Heading1"/>
        <w:shd w:fill="1A6B3A" w:val="clear"/>
        <w:spacing w:after="100" w:before="320"/>
        <w:ind w:left="160" w:right="160"/>
      </w:pPr>
      <w:r>
        <w:rPr>
          <w:b/>
          <w:bCs/>
          <w:color w:val="FFFFFF"/>
          <w:sz w:val="30"/>
          <w:szCs w:val="30"/>
        </w:rPr>
        <w:t xml:space="preserve">11. Choix de conception</w:t>
      </w:r>
    </w:p>
    <w:p>
      <w:pPr>
        <w:pStyle w:val="Heading2"/>
        <w:pBdr>
          <w:bottom w:val="single" w:color="C6E5D1" w:sz="6" w:space="4"/>
        </w:pBdr>
        <w:spacing w:after="60" w:before="260"/>
      </w:pPr>
      <w:r>
        <w:rPr>
          <w:b/>
          <w:bCs/>
          <w:color w:val="1A6B3A"/>
          <w:sz w:val="26"/>
          <w:szCs w:val="26"/>
        </w:rPr>
        <w:t xml:space="preserve">11.1 Pas de connexion bancaire directe</w:t>
      </w:r>
    </w:p>
    <w:p>
      <w:pPr>
        <w:spacing w:after="60" w:before="50"/>
        <w:jc w:val="both"/>
      </w:pPr>
      <w:r>
        <w:rPr>
          <w:color w:val="1A1A1A"/>
          <w:sz w:val="20"/>
          <w:szCs w:val="20"/>
        </w:rPr>
        <w:t xml:space="preserve">Il n'existe pas d'API bancaire standardisée au Maroc. La saisie manuelle du solde a été retenue : elle prend quelques secondes et ne nécessite aucun partage d'identifiants bancaires.</w:t>
      </w:r>
    </w:p>
    <w:p>
      <w:pPr>
        <w:pStyle w:val="Heading2"/>
        <w:pBdr>
          <w:bottom w:val="single" w:color="C6E5D1" w:sz="6" w:space="4"/>
        </w:pBdr>
        <w:spacing w:after="60" w:before="260"/>
      </w:pPr>
      <w:r>
        <w:rPr>
          <w:b/>
          <w:bCs/>
          <w:color w:val="1A6B3A"/>
          <w:sz w:val="26"/>
          <w:szCs w:val="26"/>
        </w:rPr>
        <w:t xml:space="preserve">11.2 iOS uniquement</w:t>
      </w:r>
    </w:p>
    <w:p>
      <w:pPr>
        <w:spacing w:after="60" w:before="50"/>
        <w:jc w:val="both"/>
      </w:pPr>
      <w:r>
        <w:rPr>
          <w:color w:val="1A1A1A"/>
          <w:sz w:val="20"/>
          <w:szCs w:val="20"/>
        </w:rPr>
        <w:t xml:space="preserve">PatriMoi est développé par une seule personne. Un port Android représente plusieurs mois de travail supplémentaire. La priorité a été d'avoir un produit fonctionnel sur une plateforme avant d'élargir.</w:t>
      </w:r>
    </w:p>
    <w:p>
      <w:pPr>
        <w:pStyle w:val="Heading2"/>
        <w:pBdr>
          <w:bottom w:val="single" w:color="C6E5D1" w:sz="6" w:space="4"/>
        </w:pBdr>
        <w:spacing w:after="60" w:before="260"/>
      </w:pPr>
      <w:r>
        <w:rPr>
          <w:b/>
          <w:bCs/>
          <w:color w:val="1A6B3A"/>
          <w:sz w:val="26"/>
          <w:szCs w:val="26"/>
        </w:rPr>
        <w:t xml:space="preserve">11.3 Données marché partiellement automatisées</w:t>
      </w:r>
    </w:p>
    <w:p>
      <w:pPr>
        <w:spacing w:after="60" w:before="50"/>
        <w:jc w:val="both"/>
      </w:pPr>
      <w:r>
        <w:rPr>
          <w:color w:val="1A1A1A"/>
          <w:sz w:val="20"/>
          <w:szCs w:val="20"/>
        </w:rPr>
        <w:t xml:space="preserve">Seules les données disponibles via des sources publiques et fiables sont automatisées : cours BVC (TradingView), prix de l'or (goldprice.org), taux de change. Tout ce qui dépend d'une évaluation subjective (immobilier, transport) ou d'une information non publique (soldes bancaires) reste en saisie manuelle.</w:t>
      </w:r>
    </w:p>
    <w:p>
      <w:pPr>
        <w:pStyle w:val="Heading2"/>
        <w:pBdr>
          <w:bottom w:val="single" w:color="C6E5D1" w:sz="6" w:space="4"/>
        </w:pBdr>
        <w:spacing w:after="60" w:before="260"/>
      </w:pPr>
      <w:r>
        <w:rPr>
          <w:b/>
          <w:bCs/>
          <w:color w:val="1A6B3A"/>
          <w:sz w:val="26"/>
          <w:szCs w:val="26"/>
        </w:rPr>
        <w:t xml:space="preserve">11.4 Pas de prédiction</w:t>
      </w:r>
    </w:p>
    <w:p>
      <w:pPr>
        <w:spacing w:after="60" w:before="50"/>
        <w:jc w:val="both"/>
      </w:pPr>
      <w:r>
        <w:rPr>
          <w:color w:val="1A1A1A"/>
          <w:sz w:val="20"/>
          <w:szCs w:val="20"/>
        </w:rPr>
        <w:t xml:space="preserve">L'app ne propose aucune prédiction de cours ni de trajectoire patrimoniale automatique. La seule projection disponible est l'objectif patrimonial, défini par l'utilisateur lui-même. L'app se limite au descriptif.</w:t>
      </w:r>
    </w:p>
    <w:p>
      <w:pPr>
        <w:pStyle w:val="Heading2"/>
        <w:pBdr>
          <w:bottom w:val="single" w:color="C6E5D1" w:sz="6" w:space="4"/>
        </w:pBdr>
        <w:spacing w:after="60" w:before="260"/>
      </w:pPr>
      <w:r>
        <w:rPr>
          <w:b/>
          <w:bCs/>
          <w:color w:val="1A6B3A"/>
          <w:sz w:val="26"/>
          <w:szCs w:val="26"/>
        </w:rPr>
        <w:t xml:space="preserve">11.5 Stockage local prioritaire</w:t>
      </w:r>
    </w:p>
    <w:p>
      <w:pPr>
        <w:spacing w:after="60" w:before="50"/>
        <w:jc w:val="both"/>
      </w:pPr>
      <w:r>
        <w:rPr>
          <w:color w:val="1A1A1A"/>
          <w:sz w:val="20"/>
          <w:szCs w:val="20"/>
        </w:rPr>
        <w:t xml:space="preserve">Les données sont d'abord stockées localement sur l'appareil (MMKV, synchrone), puis synchronisées avec Supabase en arrière-plan. L'app fonctionne hors ligne sans dégradation visible.</w:t>
      </w:r>
    </w:p>
    <w:p>
      <w:r>
        <w:br w:type="page"/>
      </w:r>
    </w:p>
    <w:p>
      <w:pPr>
        <w:pStyle w:val="Heading1"/>
        <w:shd w:fill="1A6B3A" w:val="clear"/>
        <w:spacing w:after="100" w:before="320"/>
        <w:ind w:left="160" w:right="160"/>
      </w:pPr>
      <w:r>
        <w:rPr>
          <w:b/>
          <w:bCs/>
          <w:color w:val="FFFFFF"/>
          <w:sz w:val="30"/>
          <w:szCs w:val="30"/>
        </w:rPr>
        <w:t xml:space="preserve">12. Limites actuelles</w:t>
      </w:r>
    </w:p>
    <w:p>
      <w:pPr>
        <w:spacing w:after="50" w:before="50"/>
      </w:pPr>
    </w:p>
    <w:tbl>
      <w:tblPr>
        <w:tblW w:type="dxa" w:w="7800"/>
        <w:tblBorders>
          <w:top w:val="single" w:color="CCCCCC" w:sz="3"/>
          <w:left w:val="single" w:color="CCCCCC" w:sz="3"/>
          <w:bottom w:val="single" w:color="CCCCCC" w:sz="3"/>
          <w:right w:val="single" w:color="CCCCCC" w:sz="3"/>
          <w:insideH w:val="single" w:color="auto" w:sz="4"/>
          <w:insideV w:val="single" w:color="auto" w:sz="4"/>
        </w:tblBorders>
      </w:tblPr>
      <w:tblGrid>
        <w:gridCol w:w="100"/>
        <w:gridCol w:w="100"/>
      </w:tblGrid>
      <w:tr>
        <w:trPr>
          <w:tblHeader/>
        </w:trPr>
        <w:tc>
          <w:tcPr>
            <w:tcW w:type="dxa" w:w="3200"/>
            <w:shd w:fill="1A6B3A" w:val="clear"/>
          </w:tcPr>
          <w:p>
            <w:pPr>
              <w:spacing w:after="30" w:before="30"/>
              <w:jc w:val="center"/>
            </w:pPr>
            <w:r>
              <w:rPr>
                <w:b/>
                <w:bCs/>
                <w:color w:val="FFFFFF"/>
                <w:sz w:val="17"/>
                <w:szCs w:val="17"/>
              </w:rPr>
              <w:t xml:space="preserve">Limite</w:t>
            </w:r>
          </w:p>
        </w:tc>
        <w:tc>
          <w:tcPr>
            <w:tcW w:type="dxa" w:w="4600"/>
            <w:shd w:fill="1A6B3A" w:val="clear"/>
          </w:tcPr>
          <w:p>
            <w:pPr>
              <w:spacing w:after="30" w:before="30"/>
              <w:jc w:val="center"/>
            </w:pPr>
            <w:r>
              <w:rPr>
                <w:b/>
                <w:bCs/>
                <w:color w:val="FFFFFF"/>
                <w:sz w:val="17"/>
                <w:szCs w:val="17"/>
              </w:rPr>
              <w:t xml:space="preserve">Impact concret</w:t>
            </w:r>
          </w:p>
        </w:tc>
      </w:tr>
      <w:tr>
        <w:tc>
          <w:tcPr>
            <w:tcW w:type="dxa" w:w="3200"/>
            <w:shd w:fill="FFFFFF" w:val="clear"/>
          </w:tcPr>
          <w:p>
            <w:pPr>
              <w:spacing w:after="28" w:before="28"/>
              <w:ind w:left="60"/>
            </w:pPr>
            <w:r>
              <w:rPr>
                <w:color w:val="1A1A1A"/>
                <w:sz w:val="17"/>
                <w:szCs w:val="17"/>
              </w:rPr>
              <w:t xml:space="preserve">iOS uniquement</w:t>
            </w:r>
          </w:p>
        </w:tc>
        <w:tc>
          <w:tcPr>
            <w:tcW w:type="dxa" w:w="4600"/>
            <w:shd w:fill="FFFFFF" w:val="clear"/>
          </w:tcPr>
          <w:p>
            <w:pPr>
              <w:spacing w:after="28" w:before="28"/>
              <w:ind w:left="60"/>
            </w:pPr>
            <w:r>
              <w:rPr>
                <w:color w:val="1A1A1A"/>
                <w:sz w:val="17"/>
                <w:szCs w:val="17"/>
              </w:rPr>
              <w:t xml:space="preserve">Utilisateurs Android non couverts.</w:t>
            </w:r>
          </w:p>
        </w:tc>
      </w:tr>
      <w:tr>
        <w:tc>
          <w:tcPr>
            <w:tcW w:type="dxa" w:w="3200"/>
            <w:shd w:fill="F4F4F4" w:val="clear"/>
          </w:tcPr>
          <w:p>
            <w:pPr>
              <w:spacing w:after="28" w:before="28"/>
              <w:ind w:left="60"/>
            </w:pPr>
            <w:r>
              <w:rPr>
                <w:color w:val="1A1A1A"/>
                <w:sz w:val="17"/>
                <w:szCs w:val="17"/>
              </w:rPr>
              <w:t xml:space="preserve">Pas de connexion bancaire automatique</w:t>
            </w:r>
          </w:p>
        </w:tc>
        <w:tc>
          <w:tcPr>
            <w:tcW w:type="dxa" w:w="4600"/>
            <w:shd w:fill="F4F4F4" w:val="clear"/>
          </w:tcPr>
          <w:p>
            <w:pPr>
              <w:spacing w:after="28" w:before="28"/>
              <w:ind w:left="60"/>
            </w:pPr>
            <w:r>
              <w:rPr>
                <w:color w:val="1A1A1A"/>
                <w:sz w:val="17"/>
                <w:szCs w:val="17"/>
              </w:rPr>
              <w:t xml:space="preserve">Les soldes bancaires nécessitent une mise à jour manuelle.</w:t>
            </w:r>
          </w:p>
        </w:tc>
      </w:tr>
      <w:tr>
        <w:tc>
          <w:tcPr>
            <w:tcW w:type="dxa" w:w="3200"/>
            <w:shd w:fill="FFFFFF" w:val="clear"/>
          </w:tcPr>
          <w:p>
            <w:pPr>
              <w:spacing w:after="28" w:before="28"/>
              <w:ind w:left="60"/>
            </w:pPr>
            <w:r>
              <w:rPr>
                <w:color w:val="1A1A1A"/>
                <w:sz w:val="17"/>
                <w:szCs w:val="17"/>
              </w:rPr>
              <w:t xml:space="preserve">Pas de gestion des dettes et crédits</w:t>
            </w:r>
          </w:p>
        </w:tc>
        <w:tc>
          <w:tcPr>
            <w:tcW w:type="dxa" w:w="4600"/>
            <w:shd w:fill="FFFFFF" w:val="clear"/>
          </w:tcPr>
          <w:p>
            <w:pPr>
              <w:spacing w:after="28" w:before="28"/>
              <w:ind w:left="60"/>
            </w:pPr>
            <w:r>
              <w:rPr>
                <w:color w:val="1A1A1A"/>
                <w:sz w:val="17"/>
                <w:szCs w:val="17"/>
              </w:rPr>
              <w:t xml:space="preserve">Le bilan est brut (actifs seuls). Les crédits immobiliers ou prêts auto ne sont pas inclus.</w:t>
            </w:r>
          </w:p>
        </w:tc>
      </w:tr>
      <w:tr>
        <w:tc>
          <w:tcPr>
            <w:tcW w:type="dxa" w:w="3200"/>
            <w:shd w:fill="F4F4F4" w:val="clear"/>
          </w:tcPr>
          <w:p>
            <w:pPr>
              <w:spacing w:after="28" w:before="28"/>
              <w:ind w:left="60"/>
            </w:pPr>
            <w:r>
              <w:rPr>
                <w:color w:val="1A1A1A"/>
                <w:sz w:val="17"/>
                <w:szCs w:val="17"/>
              </w:rPr>
              <w:t xml:space="preserve">Cours BVC en temps différé</w:t>
            </w:r>
          </w:p>
        </w:tc>
        <w:tc>
          <w:tcPr>
            <w:tcW w:type="dxa" w:w="4600"/>
            <w:shd w:fill="F4F4F4" w:val="clear"/>
          </w:tcPr>
          <w:p>
            <w:pPr>
              <w:spacing w:after="28" w:before="28"/>
              <w:ind w:left="60"/>
            </w:pPr>
            <w:r>
              <w:rPr>
                <w:color w:val="1A1A1A"/>
                <w:sz w:val="17"/>
                <w:szCs w:val="17"/>
              </w:rPr>
              <w:t xml:space="preserve">Mise à jour toutes les heures en heures de bourse. Inadapté au trading actif intraday.</w:t>
            </w:r>
          </w:p>
        </w:tc>
      </w:tr>
      <w:tr>
        <w:tc>
          <w:tcPr>
            <w:tcW w:type="dxa" w:w="3200"/>
            <w:shd w:fill="FFFFFF" w:val="clear"/>
          </w:tcPr>
          <w:p>
            <w:pPr>
              <w:spacing w:after="28" w:before="28"/>
              <w:ind w:left="60"/>
            </w:pPr>
            <w:r>
              <w:rPr>
                <w:color w:val="1A1A1A"/>
                <w:sz w:val="17"/>
                <w:szCs w:val="17"/>
              </w:rPr>
              <w:t xml:space="preserve">Historique limité à 400 entrées</w:t>
            </w:r>
          </w:p>
        </w:tc>
        <w:tc>
          <w:tcPr>
            <w:tcW w:type="dxa" w:w="4600"/>
            <w:shd w:fill="FFFFFF" w:val="clear"/>
          </w:tcPr>
          <w:p>
            <w:pPr>
              <w:spacing w:after="28" w:before="28"/>
              <w:ind w:left="60"/>
            </w:pPr>
            <w:r>
              <w:rPr>
                <w:color w:val="1A1A1A"/>
                <w:sz w:val="17"/>
                <w:szCs w:val="17"/>
              </w:rPr>
              <w:t xml:space="preserve">Environ 13 mois de données quotidiennes. Les entrées les plus anciennes sont supprimées au-delà.</w:t>
            </w:r>
          </w:p>
        </w:tc>
      </w:tr>
      <w:tr>
        <w:tc>
          <w:tcPr>
            <w:tcW w:type="dxa" w:w="3200"/>
            <w:shd w:fill="F4F4F4" w:val="clear"/>
          </w:tcPr>
          <w:p>
            <w:pPr>
              <w:spacing w:after="28" w:before="28"/>
              <w:ind w:left="60"/>
            </w:pPr>
            <w:r>
              <w:rPr>
                <w:color w:val="1A1A1A"/>
                <w:sz w:val="17"/>
                <w:szCs w:val="17"/>
              </w:rPr>
              <w:t xml:space="preserve">Valorisation OPCVM manuelle</w:t>
            </w:r>
          </w:p>
        </w:tc>
        <w:tc>
          <w:tcPr>
            <w:tcW w:type="dxa" w:w="4600"/>
            <w:shd w:fill="F4F4F4" w:val="clear"/>
          </w:tcPr>
          <w:p>
            <w:pPr>
              <w:spacing w:after="28" w:before="28"/>
              <w:ind w:left="60"/>
            </w:pPr>
            <w:r>
              <w:rPr>
                <w:color w:val="1A1A1A"/>
                <w:sz w:val="17"/>
                <w:szCs w:val="17"/>
              </w:rPr>
              <w:t xml:space="preserve">Les valeurs liquidatives des fonds doivent être saisies manuellement.</w:t>
            </w:r>
          </w:p>
        </w:tc>
      </w:tr>
      <w:tr>
        <w:tc>
          <w:tcPr>
            <w:tcW w:type="dxa" w:w="3200"/>
            <w:shd w:fill="FFFFFF" w:val="clear"/>
          </w:tcPr>
          <w:p>
            <w:pPr>
              <w:spacing w:after="28" w:before="28"/>
              <w:ind w:left="60"/>
            </w:pPr>
            <w:r>
              <w:rPr>
                <w:color w:val="1A1A1A"/>
                <w:sz w:val="17"/>
                <w:szCs w:val="17"/>
              </w:rPr>
              <w:t xml:space="preserve">Multi-appareils : dernier écrit gagne</w:t>
            </w:r>
          </w:p>
        </w:tc>
        <w:tc>
          <w:tcPr>
            <w:tcW w:type="dxa" w:w="4600"/>
            <w:shd w:fill="FFFFFF" w:val="clear"/>
          </w:tcPr>
          <w:p>
            <w:pPr>
              <w:spacing w:after="28" w:before="28"/>
              <w:ind w:left="60"/>
            </w:pPr>
            <w:r>
              <w:rPr>
                <w:color w:val="1A1A1A"/>
                <w:sz w:val="17"/>
                <w:szCs w:val="17"/>
              </w:rPr>
              <w:t xml:space="preserve">En cas de modification simultanée sur deux appareils, la dernière synchronisation prévaut.</w:t>
            </w:r>
          </w:p>
        </w:tc>
      </w:tr>
      <w:tr>
        <w:tc>
          <w:tcPr>
            <w:tcW w:type="dxa" w:w="3200"/>
            <w:shd w:fill="F4F4F4" w:val="clear"/>
          </w:tcPr>
          <w:p>
            <w:pPr>
              <w:spacing w:after="28" w:before="28"/>
              <w:ind w:left="60"/>
            </w:pPr>
            <w:r>
              <w:rPr>
                <w:color w:val="1A1A1A"/>
                <w:sz w:val="17"/>
                <w:szCs w:val="17"/>
              </w:rPr>
              <w:t xml:space="preserve">Reporting uniquement en DH</w:t>
            </w:r>
          </w:p>
        </w:tc>
        <w:tc>
          <w:tcPr>
            <w:tcW w:type="dxa" w:w="4600"/>
            <w:shd w:fill="F4F4F4" w:val="clear"/>
          </w:tcPr>
          <w:p>
            <w:pPr>
              <w:spacing w:after="28" w:before="28"/>
              <w:ind w:left="60"/>
            </w:pPr>
            <w:r>
              <w:rPr>
                <w:color w:val="1A1A1A"/>
                <w:sz w:val="17"/>
                <w:szCs w:val="17"/>
              </w:rPr>
              <w:t xml:space="preserve">Toutes les valeurs sont converties en DH. Pas de vision en euro ou dollar.</w:t>
            </w:r>
          </w:p>
        </w:tc>
      </w:tr>
      <w:tr>
        <w:tc>
          <w:tcPr>
            <w:tcW w:type="dxa" w:w="3200"/>
            <w:shd w:fill="FFFFFF" w:val="clear"/>
          </w:tcPr>
          <w:p>
            <w:pPr>
              <w:spacing w:after="28" w:before="28"/>
              <w:ind w:left="60"/>
            </w:pPr>
            <w:r>
              <w:rPr>
                <w:color w:val="1A1A1A"/>
                <w:sz w:val="17"/>
                <w:szCs w:val="17"/>
              </w:rPr>
              <w:t xml:space="preserve">Dépréciation auto transport = estimation</w:t>
            </w:r>
          </w:p>
        </w:tc>
        <w:tc>
          <w:tcPr>
            <w:tcW w:type="dxa" w:w="4600"/>
            <w:shd w:fill="FFFFFF" w:val="clear"/>
          </w:tcPr>
          <w:p>
            <w:pPr>
              <w:spacing w:after="28" w:before="28"/>
              <w:ind w:left="60"/>
            </w:pPr>
            <w:r>
              <w:rPr>
                <w:color w:val="1A1A1A"/>
                <w:sz w:val="17"/>
                <w:szCs w:val="17"/>
              </w:rPr>
              <w:t xml:space="preserve">Les taux de dépréciation appliqués (15%/an voiture...) sont des moyennes indicatives, pas des cotes Argus.</w:t>
            </w:r>
          </w:p>
        </w:tc>
      </w:tr>
    </w:tbl>
    <w:p>
      <w:pPr>
        <w:spacing w:after="50" w:before="50"/>
      </w:pPr>
    </w:p>
    <w:p>
      <w:pPr>
        <w:spacing w:after="50" w:before="50"/>
      </w:pPr>
    </w:p>
    <w:p>
      <w:pPr>
        <w:pBdr>
          <w:top w:val="single" w:color="CCCCCC" w:sz="4"/>
        </w:pBdr>
        <w:spacing w:before="400"/>
        <w:jc w:val="center"/>
      </w:pPr>
      <w:r>
        <w:rPr>
          <w:i/>
          <w:iCs/>
          <w:color w:val="CCCCCC"/>
          <w:sz w:val="16"/>
          <w:szCs w:val="16"/>
        </w:rPr>
        <w:t xml:space="preserve">PatriMoi v1.6 — Document Fonctionnel · 19/07/2026  ·  Made in Morocco</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2026-07-19T09:54:52.824Z</dcterms:created>
  <dcterms:modified xsi:type="dcterms:W3CDTF">2026-07-19T09:54:52.824Z</dcterms:modified>
</cp:coreProperties>
</file>

<file path=docProps/custom.xml><?xml version="1.0" encoding="utf-8"?>
<Properties xmlns="http://schemas.openxmlformats.org/officeDocument/2006/custom-properties" xmlns:vt="http://schemas.openxmlformats.org/officeDocument/2006/docPropsVTypes"/>
</file>