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r>
        <w:t xml:space="preserve"/>
      </w:r>
    </w:p>
    <w:p>
      <w:pPr>
        <w:spacing w:after="120" w:before="0"/>
        <w:jc w:val="center"/>
      </w:pPr>
      <w:r>
        <w:rPr>
          <w:rFonts w:ascii="Arial" w:cs="Arial" w:eastAsia="Arial" w:hAnsi="Arial"/>
          <w:b/>
          <w:bCs/>
          <w:color w:val="1B5E35"/>
          <w:sz w:val="72"/>
          <w:szCs w:val="72"/>
        </w:rPr>
        <w:t xml:space="preserve">PatriMoi</w:t>
      </w:r>
    </w:p>
    <w:p>
      <w:pPr>
        <w:spacing w:after="80" w:before="0"/>
        <w:jc w:val="center"/>
      </w:pPr>
      <w:r>
        <w:rPr>
          <w:rFonts w:ascii="Arial" w:cs="Arial" w:eastAsia="Arial" w:hAnsi="Arial"/>
          <w:color w:val="1A237E"/>
          <w:sz w:val="36"/>
          <w:szCs w:val="36"/>
        </w:rPr>
        <w:t xml:space="preserve">Document d'Architecture Technique</w:t>
      </w:r>
    </w:p>
    <w:p>
      <w:pPr>
        <w:spacing w:after="400" w:before="0"/>
        <w:jc w:val="center"/>
      </w:pPr>
      <w:r>
        <w:rPr>
          <w:rFonts w:ascii="Arial" w:cs="Arial" w:eastAsia="Arial" w:hAnsi="Arial"/>
          <w:b/>
          <w:bCs/>
          <w:color w:val="00695C"/>
          <w:sz w:val="28"/>
          <w:szCs w:val="28"/>
        </w:rPr>
        <w:t xml:space="preserve">DAT v1.6</w:t>
      </w:r>
    </w:p>
    <w:p>
      <w:pPr>
        <w:pBdr>
          <w:top w:val="single" w:color="1B5E35" w:sz="4" w:space="8"/>
        </w:pBdr>
        <w:spacing w:after="200" w:before="0"/>
      </w:pPr>
    </w:p>
    <w:p>
      <w:pPr>
        <w:spacing w:after="120" w:before="0"/>
        <w:jc w:val="center"/>
      </w:pPr>
      <w:r>
        <w:rPr>
          <w:rFonts w:ascii="Arial" w:cs="Arial" w:eastAsia="Arial" w:hAnsi="Arial"/>
          <w:i/>
          <w:iCs/>
          <w:color w:val="607D8B"/>
          <w:sz w:val="24"/>
          <w:szCs w:val="24"/>
        </w:rPr>
        <w:t xml:space="preserve">Application mobile de gestion de patrimoine marocain</w:t>
      </w:r>
    </w:p>
    <w:p>
      <w:pPr>
        <w:spacing w:after="0" w:before="120"/>
      </w:pPr>
      <w:r>
        <w:t xml:space="preserve"/>
      </w:r>
    </w:p>
    <w:p>
      <w:pPr>
        <w:spacing w:after="60" w:before="60"/>
        <w:jc w:val="center"/>
      </w:pPr>
      <w:r>
        <w:rPr>
          <w:rFonts w:ascii="Arial" w:cs="Arial" w:eastAsia="Arial" w:hAnsi="Arial"/>
          <w:b/>
          <w:bCs/>
          <w:color w:val="1A237E"/>
          <w:sz w:val="22"/>
          <w:szCs w:val="22"/>
        </w:rPr>
        <w:t xml:space="preserve">Version : </w:t>
      </w:r>
      <w:r>
        <w:rPr>
          <w:rFonts w:ascii="Arial" w:cs="Arial" w:eastAsia="Arial" w:hAnsi="Arial"/>
          <w:sz w:val="22"/>
          <w:szCs w:val="22"/>
        </w:rPr>
        <w:t xml:space="preserve">1.6</w:t>
      </w:r>
    </w:p>
    <w:p>
      <w:pPr>
        <w:spacing w:after="60" w:before="60"/>
        <w:jc w:val="center"/>
      </w:pPr>
      <w:r>
        <w:rPr>
          <w:rFonts w:ascii="Arial" w:cs="Arial" w:eastAsia="Arial" w:hAnsi="Arial"/>
          <w:b/>
          <w:bCs/>
          <w:color w:val="1A237E"/>
          <w:sz w:val="22"/>
          <w:szCs w:val="22"/>
        </w:rPr>
        <w:t xml:space="preserve">Date : </w:t>
      </w:r>
      <w:r>
        <w:rPr>
          <w:rFonts w:ascii="Arial" w:cs="Arial" w:eastAsia="Arial" w:hAnsi="Arial"/>
          <w:sz w:val="22"/>
          <w:szCs w:val="22"/>
        </w:rPr>
        <w:t xml:space="preserve">Juillet 2026</w:t>
      </w:r>
    </w:p>
    <w:p>
      <w:pPr>
        <w:spacing w:after="60" w:before="60"/>
        <w:jc w:val="center"/>
      </w:pPr>
      <w:r>
        <w:rPr>
          <w:rFonts w:ascii="Arial" w:cs="Arial" w:eastAsia="Arial" w:hAnsi="Arial"/>
          <w:b/>
          <w:bCs/>
          <w:color w:val="1A237E"/>
          <w:sz w:val="22"/>
          <w:szCs w:val="22"/>
        </w:rPr>
        <w:t xml:space="preserve">Statut : </w:t>
      </w:r>
      <w:r>
        <w:rPr>
          <w:rFonts w:ascii="Arial" w:cs="Arial" w:eastAsia="Arial" w:hAnsi="Arial"/>
          <w:sz w:val="22"/>
          <w:szCs w:val="22"/>
        </w:rPr>
        <w:t xml:space="preserve">Version de référence</w:t>
      </w:r>
    </w:p>
    <w:p>
      <w:pPr>
        <w:spacing w:after="60" w:before="60"/>
        <w:jc w:val="center"/>
      </w:pPr>
      <w:r>
        <w:rPr>
          <w:rFonts w:ascii="Arial" w:cs="Arial" w:eastAsia="Arial" w:hAnsi="Arial"/>
          <w:b/>
          <w:bCs/>
          <w:color w:val="1A237E"/>
          <w:sz w:val="22"/>
          <w:szCs w:val="22"/>
        </w:rPr>
        <w:t xml:space="preserve">Auteur : </w:t>
      </w:r>
      <w:r>
        <w:rPr>
          <w:rFonts w:ascii="Arial" w:cs="Arial" w:eastAsia="Arial" w:hAnsi="Arial"/>
          <w:sz w:val="22"/>
          <w:szCs w:val="22"/>
        </w:rPr>
        <w:t xml:space="preserve">Zineddine Othmane</w:t>
      </w:r>
    </w:p>
    <w:p>
      <w:pPr>
        <w:spacing w:after="60" w:before="60"/>
        <w:jc w:val="center"/>
      </w:pPr>
      <w:r>
        <w:rPr>
          <w:rFonts w:ascii="Arial" w:cs="Arial" w:eastAsia="Arial" w:hAnsi="Arial"/>
          <w:b/>
          <w:bCs/>
          <w:color w:val="1A237E"/>
          <w:sz w:val="22"/>
          <w:szCs w:val="22"/>
        </w:rPr>
        <w:t xml:space="preserve">Plateforme : </w:t>
      </w:r>
      <w:r>
        <w:rPr>
          <w:rFonts w:ascii="Arial" w:cs="Arial" w:eastAsia="Arial" w:hAnsi="Arial"/>
          <w:sz w:val="22"/>
          <w:szCs w:val="22"/>
        </w:rPr>
        <w:t xml:space="preserve">iOS 26 (Android prévu)</w:t>
      </w:r>
    </w:p>
    <w:p>
      <w:r>
        <w:br w:type="page"/>
      </w:r>
    </w:p>
    <w:p>
      <w:pPr>
        <w:spacing w:after="300" w:before="200"/>
      </w:pPr>
      <w:r>
        <w:rPr>
          <w:rFonts w:ascii="Arial" w:cs="Arial" w:eastAsia="Arial" w:hAnsi="Arial"/>
          <w:b/>
          <w:bCs/>
          <w:color w:val="1B5E35"/>
          <w:sz w:val="32"/>
          <w:szCs w:val="32"/>
        </w:rPr>
        <w:t xml:space="preserve">Table des matières</w:t>
      </w:r>
    </w:p>
    <w:sdt>
      <w:sdtPr>
        <w:alias w:val="Table des matières"/>
      </w:sdtPr>
      <w:sdtContent>
        <w:p>
          <w:r>
            <w:fldChar w:fldCharType="begin" w:dirty="true"/>
            <w:instrText xml:space="preserve">TOC \h \o "1-3" \t "Heading1,1,Heading2,2,Heading3,3"</w:instrText>
            <w:fldChar w:fldCharType="separate"/>
          </w:r>
        </w:p>
        <w:p>
          <w:r>
            <w:fldChar w:fldCharType="end"/>
          </w:r>
        </w:p>
      </w:sdtContent>
    </w:sdt>
    <w:p>
      <w:pPr>
        <w:pStyle w:val="Heading1"/>
        <w:pageBreakBefore/>
        <w:pBdr>
          <w:bottom w:val="single" w:color="1B5E35" w:sz="8" w:space="4"/>
        </w:pBdr>
        <w:spacing w:after="200" w:before="360"/>
      </w:pPr>
      <w:r>
        <w:rPr>
          <w:rFonts w:ascii="Arial" w:cs="Arial" w:eastAsia="Arial" w:hAnsi="Arial"/>
          <w:b/>
          <w:bCs/>
          <w:color w:val="1B5E35"/>
          <w:sz w:val="32"/>
          <w:szCs w:val="32"/>
        </w:rPr>
        <w:t xml:space="preserve">1. Introduction</w:t>
      </w:r>
    </w:p>
    <w:p>
      <w:pPr>
        <w:pStyle w:val="Heading2"/>
        <w:spacing w:after="140" w:before="280"/>
      </w:pPr>
      <w:r>
        <w:rPr>
          <w:rFonts w:ascii="Arial" w:cs="Arial" w:eastAsia="Arial" w:hAnsi="Arial"/>
          <w:b/>
          <w:bCs/>
          <w:color w:val="1A237E"/>
          <w:sz w:val="26"/>
          <w:szCs w:val="26"/>
        </w:rPr>
        <w:t xml:space="preserve">1.1 Objectif du document</w:t>
      </w:r>
    </w:p>
    <w:p>
      <w:pPr>
        <w:spacing w:after="80" w:before="60"/>
      </w:pPr>
      <w:r>
        <w:rPr>
          <w:rFonts w:ascii="Arial" w:cs="Arial" w:eastAsia="Arial" w:hAnsi="Arial"/>
          <w:sz w:val="22"/>
          <w:szCs w:val="22"/>
        </w:rPr>
        <w:t xml:space="preserve">Ce Document d'Architecture Technique (DAT) décrit l'ensemble de l'architecture logicielle, technique et fonctionnelle de l'application mobile PatriMoi. Il constitue la référence unique pour toute l'équipe de développement et les parties prenantes techniques.</w:t>
      </w:r>
    </w:p>
    <w:p>
      <w:pPr>
        <w:spacing w:after="80" w:before="60"/>
      </w:pPr>
      <w:r>
        <w:rPr>
          <w:rFonts w:ascii="Arial" w:cs="Arial" w:eastAsia="Arial" w:hAnsi="Arial"/>
          <w:sz w:val="22"/>
          <w:szCs w:val="22"/>
        </w:rPr>
        <w:t xml:space="preserve">Il couvre les choix architecturaux, les flux de données, la sécurité, les APIs externes et la structure de la base de données.</w:t>
      </w:r>
    </w:p>
    <w:p>
      <w:pPr>
        <w:pStyle w:val="Heading2"/>
        <w:spacing w:after="140" w:before="280"/>
      </w:pPr>
      <w:r>
        <w:rPr>
          <w:rFonts w:ascii="Arial" w:cs="Arial" w:eastAsia="Arial" w:hAnsi="Arial"/>
          <w:b/>
          <w:bCs/>
          <w:color w:val="1A237E"/>
          <w:sz w:val="26"/>
          <w:szCs w:val="26"/>
        </w:rPr>
        <w:t xml:space="preserve">1.2 Périmètre</w:t>
      </w:r>
    </w:p>
    <w:p>
      <w:pPr>
        <w:pStyle w:val="ListParagraph"/>
        <w:numPr>
          <w:ilvl w:val="0"/>
          <w:numId w:val="2"/>
        </w:numPr>
        <w:spacing w:after="40" w:before="40"/>
      </w:pPr>
      <w:r>
        <w:rPr>
          <w:rFonts w:ascii="Arial" w:cs="Arial" w:eastAsia="Arial" w:hAnsi="Arial"/>
          <w:sz w:val="22"/>
          <w:szCs w:val="22"/>
        </w:rPr>
        <w:t xml:space="preserve">Frontend mobile — React Native (iOS, Android à venir)</w:t>
      </w:r>
    </w:p>
    <w:p>
      <w:pPr>
        <w:pStyle w:val="ListParagraph"/>
        <w:numPr>
          <w:ilvl w:val="0"/>
          <w:numId w:val="2"/>
        </w:numPr>
        <w:spacing w:after="40" w:before="40"/>
      </w:pPr>
      <w:r>
        <w:rPr>
          <w:rFonts w:ascii="Arial" w:cs="Arial" w:eastAsia="Arial" w:hAnsi="Arial"/>
          <w:sz w:val="22"/>
          <w:szCs w:val="22"/>
        </w:rPr>
        <w:t xml:space="preserve">Backend — Supabase (Auth, PostgreSQL, Edge Functions)</w:t>
      </w:r>
    </w:p>
    <w:p>
      <w:pPr>
        <w:pStyle w:val="ListParagraph"/>
        <w:numPr>
          <w:ilvl w:val="0"/>
          <w:numId w:val="2"/>
        </w:numPr>
        <w:spacing w:after="40" w:before="40"/>
      </w:pPr>
      <w:r>
        <w:rPr>
          <w:rFonts w:ascii="Arial" w:cs="Arial" w:eastAsia="Arial" w:hAnsi="Arial"/>
          <w:sz w:val="22"/>
          <w:szCs w:val="22"/>
        </w:rPr>
        <w:t xml:space="preserve">Services externes — APIs marché financier (or, devises, BVC)</w:t>
      </w:r>
    </w:p>
    <w:p>
      <w:pPr>
        <w:pStyle w:val="ListParagraph"/>
        <w:numPr>
          <w:ilvl w:val="0"/>
          <w:numId w:val="2"/>
        </w:numPr>
        <w:spacing w:after="40" w:before="40"/>
      </w:pPr>
      <w:r>
        <w:rPr>
          <w:rFonts w:ascii="Arial" w:cs="Arial" w:eastAsia="Arial" w:hAnsi="Arial"/>
          <w:sz w:val="22"/>
          <w:szCs w:val="22"/>
        </w:rPr>
        <w:t xml:space="preserve">Sécurité — RLS, JWT, biométrie, mode discret</w:t>
      </w:r>
    </w:p>
    <w:p>
      <w:pPr>
        <w:pStyle w:val="Heading2"/>
        <w:spacing w:after="140" w:before="280"/>
      </w:pPr>
      <w:r>
        <w:rPr>
          <w:rFonts w:ascii="Arial" w:cs="Arial" w:eastAsia="Arial" w:hAnsi="Arial"/>
          <w:b/>
          <w:bCs/>
          <w:color w:val="1A237E"/>
          <w:sz w:val="26"/>
          <w:szCs w:val="26"/>
        </w:rPr>
        <w:t xml:space="preserve">1.3 Public cible</w:t>
      </w:r>
    </w:p>
    <w:p>
      <w:pPr>
        <w:pStyle w:val="ListParagraph"/>
        <w:numPr>
          <w:ilvl w:val="0"/>
          <w:numId w:val="2"/>
        </w:numPr>
        <w:spacing w:after="40" w:before="40"/>
      </w:pPr>
      <w:r>
        <w:rPr>
          <w:rFonts w:ascii="Arial" w:cs="Arial" w:eastAsia="Arial" w:hAnsi="Arial"/>
          <w:sz w:val="22"/>
          <w:szCs w:val="22"/>
        </w:rPr>
        <w:t xml:space="preserve">Équipe de développement (développeurs, architecte)</w:t>
      </w:r>
    </w:p>
    <w:p>
      <w:pPr>
        <w:pStyle w:val="ListParagraph"/>
        <w:numPr>
          <w:ilvl w:val="0"/>
          <w:numId w:val="2"/>
        </w:numPr>
        <w:spacing w:after="40" w:before="40"/>
      </w:pPr>
      <w:r>
        <w:rPr>
          <w:rFonts w:ascii="Arial" w:cs="Arial" w:eastAsia="Arial" w:hAnsi="Arial"/>
          <w:sz w:val="22"/>
          <w:szCs w:val="22"/>
        </w:rPr>
        <w:t xml:space="preserve">Responsable produit (feature planning)</w:t>
      </w:r>
    </w:p>
    <w:p>
      <w:pPr>
        <w:pStyle w:val="ListParagraph"/>
        <w:numPr>
          <w:ilvl w:val="0"/>
          <w:numId w:val="2"/>
        </w:numPr>
        <w:spacing w:after="40" w:before="40"/>
      </w:pPr>
      <w:r>
        <w:rPr>
          <w:rFonts w:ascii="Arial" w:cs="Arial" w:eastAsia="Arial" w:hAnsi="Arial"/>
          <w:sz w:val="22"/>
          <w:szCs w:val="22"/>
        </w:rPr>
        <w:t xml:space="preserve">Auditeur technique / investisseur technique</w:t>
      </w:r>
    </w:p>
    <w:p>
      <w:pPr>
        <w:pStyle w:val="Heading2"/>
        <w:spacing w:after="140" w:before="280"/>
      </w:pPr>
      <w:r>
        <w:rPr>
          <w:rFonts w:ascii="Arial" w:cs="Arial" w:eastAsia="Arial" w:hAnsi="Arial"/>
          <w:b/>
          <w:bCs/>
          <w:color w:val="1A237E"/>
          <w:sz w:val="26"/>
          <w:szCs w:val="26"/>
        </w:rPr>
        <w:t xml:space="preserve">1.4 Historique des versions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000"/>
        <w:gridCol w:w="3960"/>
      </w:tblGrid>
      <w:tr>
        <w:trPr>
          <w:tblHeader/>
        </w:trPr>
        <w:tc>
          <w:tcPr>
            <w:tcW w:type="dxa" w:w="1800"/>
            <w:tcBorders>
              <w:top w:val="single" w:color="CCCCCC" w:sz="1"/>
              <w:left w:val="single" w:color="CCCCCC" w:sz="1"/>
              <w:bottom w:val="single" w:color="CCCCCC" w:sz="1"/>
              <w:right w:val="single" w:color="CCCCCC" w:sz="1"/>
            </w:tcBorders>
            <w:shd w:fill="1B5E35" w:val="clear"/>
            <w:tcMar>
              <w:top w:type="dxa" w:w="80"/>
              <w:left w:type="dxa" w:w="160"/>
              <w:bottom w:type="dxa" w:w="80"/>
              <w:right w:type="dxa" w:w="160"/>
            </w:tcMar>
          </w:tcPr>
          <w:p>
            <w:r>
              <w:rPr>
                <w:rFonts w:ascii="Arial" w:cs="Arial" w:eastAsia="Arial" w:hAnsi="Arial"/>
                <w:b/>
                <w:bCs/>
                <w:color w:val="FFFFFF"/>
                <w:sz w:val="20"/>
                <w:szCs w:val="20"/>
              </w:rPr>
              <w:t xml:space="preserve">Version</w:t>
            </w:r>
          </w:p>
        </w:tc>
        <w:tc>
          <w:tcPr>
            <w:tcW w:type="dxa" w:w="1600"/>
            <w:tcBorders>
              <w:top w:val="single" w:color="CCCCCC" w:sz="1"/>
              <w:left w:val="single" w:color="CCCCCC" w:sz="1"/>
              <w:bottom w:val="single" w:color="CCCCCC" w:sz="1"/>
              <w:right w:val="single" w:color="CCCCCC" w:sz="1"/>
            </w:tcBorders>
            <w:shd w:fill="1B5E35" w:val="clear"/>
            <w:tcMar>
              <w:top w:type="dxa" w:w="80"/>
              <w:left w:type="dxa" w:w="160"/>
              <w:bottom w:type="dxa" w:w="80"/>
              <w:right w:type="dxa" w:w="160"/>
            </w:tcMar>
          </w:tcPr>
          <w:p>
            <w:r>
              <w:rPr>
                <w:rFonts w:ascii="Arial" w:cs="Arial" w:eastAsia="Arial" w:hAnsi="Arial"/>
                <w:b/>
                <w:bCs/>
                <w:color w:val="FFFFFF"/>
                <w:sz w:val="20"/>
                <w:szCs w:val="20"/>
              </w:rPr>
              <w:t xml:space="preserve">Date</w:t>
            </w:r>
          </w:p>
        </w:tc>
        <w:tc>
          <w:tcPr>
            <w:tcW w:type="dxa" w:w="2000"/>
            <w:tcBorders>
              <w:top w:val="single" w:color="CCCCCC" w:sz="1"/>
              <w:left w:val="single" w:color="CCCCCC" w:sz="1"/>
              <w:bottom w:val="single" w:color="CCCCCC" w:sz="1"/>
              <w:right w:val="single" w:color="CCCCCC" w:sz="1"/>
            </w:tcBorders>
            <w:shd w:fill="1B5E35" w:val="clear"/>
            <w:tcMar>
              <w:top w:type="dxa" w:w="80"/>
              <w:left w:type="dxa" w:w="160"/>
              <w:bottom w:type="dxa" w:w="80"/>
              <w:right w:type="dxa" w:w="160"/>
            </w:tcMar>
          </w:tcPr>
          <w:p>
            <w:r>
              <w:rPr>
                <w:rFonts w:ascii="Arial" w:cs="Arial" w:eastAsia="Arial" w:hAnsi="Arial"/>
                <w:b/>
                <w:bCs/>
                <w:color w:val="FFFFFF"/>
                <w:sz w:val="20"/>
                <w:szCs w:val="20"/>
              </w:rPr>
              <w:t xml:space="preserve">Auteur</w:t>
            </w:r>
          </w:p>
        </w:tc>
        <w:tc>
          <w:tcPr>
            <w:tcW w:type="dxa" w:w="3960"/>
            <w:tcBorders>
              <w:top w:val="single" w:color="CCCCCC" w:sz="1"/>
              <w:left w:val="single" w:color="CCCCCC" w:sz="1"/>
              <w:bottom w:val="single" w:color="CCCCCC" w:sz="1"/>
              <w:right w:val="single" w:color="CCCCCC" w:sz="1"/>
            </w:tcBorders>
            <w:shd w:fill="1B5E35" w:val="clear"/>
            <w:tcMar>
              <w:top w:type="dxa" w:w="80"/>
              <w:left w:type="dxa" w:w="160"/>
              <w:bottom w:type="dxa" w:w="80"/>
              <w:right w:type="dxa" w:w="160"/>
            </w:tcMar>
          </w:tcPr>
          <w:p>
            <w:r>
              <w:rPr>
                <w:rFonts w:ascii="Arial" w:cs="Arial" w:eastAsia="Arial" w:hAnsi="Arial"/>
                <w:b/>
                <w:bCs/>
                <w:color w:val="FFFFFF"/>
                <w:sz w:val="20"/>
                <w:szCs w:val="20"/>
              </w:rPr>
              <w:t xml:space="preserve">Modifications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v1.0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Déc. 2025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Z. Othmane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Version initiale — architecture de base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v1.2</w:t>
            </w:r>
          </w:p>
        </w:tc>
        <w:tc>
          <w:tcPr>
            <w:tcW w:type="dxa" w:w="16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Fév. 2026</w:t>
            </w:r>
          </w:p>
        </w:tc>
        <w:tc>
          <w:tcPr>
            <w:tcW w:type="dxa" w:w="20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Z. Othmane</w:t>
            </w:r>
          </w:p>
        </w:tc>
        <w:tc>
          <w:tcPr>
            <w:tcW w:type="dxa" w:w="39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Ajout 8 catégories actifs, store Zustand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v1.4</w:t>
            </w:r>
          </w:p>
        </w:tc>
        <w:tc>
          <w:tcPr>
            <w:tcW w:type="dxa" w:w="16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Avr. 2026</w:t>
            </w:r>
          </w:p>
        </w:tc>
        <w:tc>
          <w:tcPr>
            <w:tcW w:type="dxa" w:w="20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Z. Othmane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Edge Function proxy, biométrie, migrations</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v1.5</w:t>
            </w:r>
          </w:p>
        </w:tc>
        <w:tc>
          <w:tcPr>
            <w:tcW w:type="dxa" w:w="16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Juin 2026</w:t>
            </w:r>
          </w:p>
        </w:tc>
        <w:tc>
          <w:tcPr>
            <w:tcW w:type="dxa" w:w="20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Z. Othmane</w:t>
            </w:r>
          </w:p>
        </w:tc>
        <w:tc>
          <w:tcPr>
            <w:tcW w:type="dxa" w:w="39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Mode discret, historique, P&amp;L global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v1.6</w:t>
            </w:r>
          </w:p>
        </w:tc>
        <w:tc>
          <w:tcPr>
            <w:tcW w:type="dxa" w:w="16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Juil. 2026</w:t>
            </w:r>
          </w:p>
        </w:tc>
        <w:tc>
          <w:tcPr>
            <w:tcW w:type="dxa" w:w="20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Z. Othmane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MASI temps réel, Yakeen, Conseils redesign</w:t>
            </w:r>
          </w:p>
        </w:tc>
      </w:tr>
    </w:tbl>
    <w:p>
      <w:pPr>
        <w:pStyle w:val="Heading1"/>
        <w:pageBreakBefore/>
        <w:pBdr>
          <w:bottom w:val="single" w:color="1B5E35" w:sz="8" w:space="4"/>
        </w:pBdr>
        <w:spacing w:after="200" w:before="360"/>
      </w:pPr>
      <w:r>
        <w:rPr>
          <w:rFonts w:ascii="Arial" w:cs="Arial" w:eastAsia="Arial" w:hAnsi="Arial"/>
          <w:b/>
          <w:bCs/>
          <w:color w:val="1B5E35"/>
          <w:sz w:val="32"/>
          <w:szCs w:val="32"/>
        </w:rPr>
        <w:t xml:space="preserve">2. Présentation de l'application</w:t>
      </w:r>
    </w:p>
    <w:p>
      <w:pPr>
        <w:pStyle w:val="Heading2"/>
        <w:spacing w:after="140" w:before="280"/>
      </w:pPr>
      <w:r>
        <w:rPr>
          <w:rFonts w:ascii="Arial" w:cs="Arial" w:eastAsia="Arial" w:hAnsi="Arial"/>
          <w:b/>
          <w:bCs/>
          <w:color w:val="1A237E"/>
          <w:sz w:val="26"/>
          <w:szCs w:val="26"/>
        </w:rPr>
        <w:t xml:space="preserve">2.1 Vision produit</w:t>
      </w:r>
    </w:p>
    <w:p>
      <w:pPr>
        <w:spacing w:after="80" w:before="60"/>
      </w:pPr>
      <w:r>
        <w:rPr>
          <w:rFonts w:ascii="Arial" w:cs="Arial" w:eastAsia="Arial" w:hAnsi="Arial"/>
          <w:sz w:val="22"/>
          <w:szCs w:val="22"/>
        </w:rPr>
        <w:t xml:space="preserve">PatriMoi est la première application mobile marocaine de gestion patrimoniale complète. Elle permet à tout citoyen marocain de centraliser, visualiser et optimiser l'ensemble de ses actifs depuis son smartphone.</w:t>
      </w:r>
    </w:p>
    <w:p>
      <w:pPr>
        <w:pBdr>
          <w:left w:val="thick" w:color="1B5E35" w:sz="12" w:space="8"/>
        </w:pBdr>
        <w:shd w:fill="E8F5E9" w:val="clear"/>
        <w:spacing w:after="80" w:before="80"/>
        <w:ind w:left="360" w:right="360"/>
      </w:pPr>
      <w:r>
        <w:rPr>
          <w:rFonts w:ascii="Arial" w:cs="Arial" w:eastAsia="Arial" w:hAnsi="Arial"/>
          <w:color w:val="1B5E35"/>
          <w:sz w:val="21"/>
          <w:szCs w:val="21"/>
        </w:rPr>
        <w:t xml:space="preserve">Problème résolu : Les Marocains n'ont aucun outil adapté pour suivre un patrimoine diversifié (BVC + immobilier + or + liquidités + transport) en temps réel, en dirhams, avec des conseils contextuels au cadre juridique marocain.</w:t>
      </w:r>
    </w:p>
    <w:p>
      <w:pPr>
        <w:pStyle w:val="Heading2"/>
        <w:spacing w:after="140" w:before="280"/>
      </w:pPr>
      <w:r>
        <w:rPr>
          <w:rFonts w:ascii="Arial" w:cs="Arial" w:eastAsia="Arial" w:hAnsi="Arial"/>
          <w:b/>
          <w:bCs/>
          <w:color w:val="1A237E"/>
          <w:sz w:val="26"/>
          <w:szCs w:val="26"/>
        </w:rPr>
        <w:t xml:space="preserve">2.2 Modèle économique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CCCC" w:sz="1"/>
              <w:left w:val="single" w:color="CCCCCC" w:sz="1"/>
              <w:bottom w:val="single" w:color="CCCCCC" w:sz="1"/>
              <w:right w:val="single" w:color="CCCCCC" w:sz="1"/>
            </w:tcBorders>
            <w:shd w:fill="1B5E35" w:val="clear"/>
            <w:tcMar>
              <w:top w:type="dxa" w:w="80"/>
              <w:left w:type="dxa" w:w="160"/>
              <w:bottom w:type="dxa" w:w="80"/>
              <w:right w:type="dxa" w:w="160"/>
            </w:tcMar>
          </w:tcPr>
          <w:p>
            <w:r>
              <w:rPr>
                <w:rFonts w:ascii="Arial" w:cs="Arial" w:eastAsia="Arial" w:hAnsi="Arial"/>
                <w:b/>
                <w:bCs/>
                <w:color w:val="FFFFFF"/>
                <w:sz w:val="20"/>
                <w:szCs w:val="20"/>
              </w:rPr>
              <w:t xml:space="preserve">Plan</w:t>
            </w:r>
          </w:p>
        </w:tc>
        <w:tc>
          <w:tcPr>
            <w:tcW w:type="dxa" w:w="1800"/>
            <w:tcBorders>
              <w:top w:val="single" w:color="CCCCCC" w:sz="1"/>
              <w:left w:val="single" w:color="CCCCCC" w:sz="1"/>
              <w:bottom w:val="single" w:color="CCCCCC" w:sz="1"/>
              <w:right w:val="single" w:color="CCCCCC" w:sz="1"/>
            </w:tcBorders>
            <w:shd w:fill="1B5E35" w:val="clear"/>
            <w:tcMar>
              <w:top w:type="dxa" w:w="80"/>
              <w:left w:type="dxa" w:w="160"/>
              <w:bottom w:type="dxa" w:w="80"/>
              <w:right w:type="dxa" w:w="160"/>
            </w:tcMar>
          </w:tcPr>
          <w:p>
            <w:r>
              <w:rPr>
                <w:rFonts w:ascii="Arial" w:cs="Arial" w:eastAsia="Arial" w:hAnsi="Arial"/>
                <w:b/>
                <w:bCs/>
                <w:color w:val="FFFFFF"/>
                <w:sz w:val="20"/>
                <w:szCs w:val="20"/>
              </w:rPr>
              <w:t xml:space="preserve">Prix</w:t>
            </w:r>
          </w:p>
        </w:tc>
        <w:tc>
          <w:tcPr>
            <w:tcW w:type="dxa" w:w="5360"/>
            <w:tcBorders>
              <w:top w:val="single" w:color="CCCCCC" w:sz="1"/>
              <w:left w:val="single" w:color="CCCCCC" w:sz="1"/>
              <w:bottom w:val="single" w:color="CCCCCC" w:sz="1"/>
              <w:right w:val="single" w:color="CCCCCC" w:sz="1"/>
            </w:tcBorders>
            <w:shd w:fill="1B5E35" w:val="clear"/>
            <w:tcMar>
              <w:top w:type="dxa" w:w="80"/>
              <w:left w:type="dxa" w:w="160"/>
              <w:bottom w:type="dxa" w:w="80"/>
              <w:right w:type="dxa" w:w="160"/>
            </w:tcMar>
          </w:tcPr>
          <w:p>
            <w:r>
              <w:rPr>
                <w:rFonts w:ascii="Arial" w:cs="Arial" w:eastAsia="Arial" w:hAnsi="Arial"/>
                <w:b/>
                <w:bCs/>
                <w:color w:val="FFFFFF"/>
                <w:sz w:val="20"/>
                <w:szCs w:val="20"/>
              </w:rPr>
              <w:t xml:space="preserve">Fonctionnalités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Gratuit (démo)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0 DH</w:t>
            </w:r>
          </w:p>
        </w:tc>
        <w:tc>
          <w:tcPr>
            <w:tcW w:type="dxa" w:w="5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Données pré-remplies, pas de sauvegarde cloud</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PatriMoi+</w:t>
            </w:r>
          </w:p>
        </w:tc>
        <w:tc>
          <w:tcPr>
            <w:tcW w:type="dxa" w:w="18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29 DH / mois</w:t>
            </w:r>
          </w:p>
        </w:tc>
        <w:tc>
          <w:tcPr>
            <w:tcW w:type="dxa" w:w="5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Sync cloud, historique illimité, temps réel, notifications</w:t>
            </w:r>
          </w:p>
        </w:tc>
      </w:tr>
    </w:tbl>
    <w:p>
      <w:pPr>
        <w:spacing w:after="0" w:before="60"/>
      </w:pPr>
      <w:r>
        <w:t xml:space="preserve"/>
      </w:r>
    </w:p>
    <w:p>
      <w:pPr>
        <w:pStyle w:val="Heading2"/>
        <w:spacing w:after="140" w:before="280"/>
      </w:pPr>
      <w:r>
        <w:rPr>
          <w:rFonts w:ascii="Arial" w:cs="Arial" w:eastAsia="Arial" w:hAnsi="Arial"/>
          <w:b/>
          <w:bCs/>
          <w:color w:val="1A237E"/>
          <w:sz w:val="26"/>
          <w:szCs w:val="26"/>
        </w:rPr>
        <w:t xml:space="preserve">2.3 Les 8 catégories d'actifs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3000"/>
        <w:gridCol w:w="3160"/>
      </w:tblGrid>
      <w:tr>
        <w:trPr>
          <w:tblHeader/>
        </w:trPr>
        <w:tc>
          <w:tcPr>
            <w:tcW w:type="dxa" w:w="2200"/>
            <w:tcBorders>
              <w:top w:val="single" w:color="CCCCCC" w:sz="1"/>
              <w:left w:val="single" w:color="CCCCCC" w:sz="1"/>
              <w:bottom w:val="single" w:color="CCCCCC" w:sz="1"/>
              <w:right w:val="single" w:color="CCCCCC" w:sz="1"/>
            </w:tcBorders>
            <w:shd w:fill="1B5E35" w:val="clear"/>
            <w:tcMar>
              <w:top w:type="dxa" w:w="80"/>
              <w:left w:type="dxa" w:w="160"/>
              <w:bottom w:type="dxa" w:w="80"/>
              <w:right w:type="dxa" w:w="160"/>
            </w:tcMar>
          </w:tcPr>
          <w:p>
            <w:r>
              <w:rPr>
                <w:rFonts w:ascii="Arial" w:cs="Arial" w:eastAsia="Arial" w:hAnsi="Arial"/>
                <w:b/>
                <w:bCs/>
                <w:color w:val="FFFFFF"/>
                <w:sz w:val="20"/>
                <w:szCs w:val="20"/>
              </w:rPr>
              <w:t xml:space="preserve">Catégorie</w:t>
            </w:r>
          </w:p>
        </w:tc>
        <w:tc>
          <w:tcPr>
            <w:tcW w:type="dxa" w:w="1000"/>
            <w:tcBorders>
              <w:top w:val="single" w:color="CCCCCC" w:sz="1"/>
              <w:left w:val="single" w:color="CCCCCC" w:sz="1"/>
              <w:bottom w:val="single" w:color="CCCCCC" w:sz="1"/>
              <w:right w:val="single" w:color="CCCCCC" w:sz="1"/>
            </w:tcBorders>
            <w:shd w:fill="1B5E35" w:val="clear"/>
            <w:tcMar>
              <w:top w:type="dxa" w:w="80"/>
              <w:left w:type="dxa" w:w="160"/>
              <w:bottom w:type="dxa" w:w="80"/>
              <w:right w:type="dxa" w:w="160"/>
            </w:tcMar>
          </w:tcPr>
          <w:p>
            <w:r>
              <w:rPr>
                <w:rFonts w:ascii="Arial" w:cs="Arial" w:eastAsia="Arial" w:hAnsi="Arial"/>
                <w:b/>
                <w:bCs/>
                <w:color w:val="FFFFFF"/>
                <w:sz w:val="20"/>
                <w:szCs w:val="20"/>
              </w:rPr>
              <w:t xml:space="preserve">Code</w:t>
            </w:r>
          </w:p>
        </w:tc>
        <w:tc>
          <w:tcPr>
            <w:tcW w:type="dxa" w:w="3000"/>
            <w:tcBorders>
              <w:top w:val="single" w:color="CCCCCC" w:sz="1"/>
              <w:left w:val="single" w:color="CCCCCC" w:sz="1"/>
              <w:bottom w:val="single" w:color="CCCCCC" w:sz="1"/>
              <w:right w:val="single" w:color="CCCCCC" w:sz="1"/>
            </w:tcBorders>
            <w:shd w:fill="1B5E35" w:val="clear"/>
            <w:tcMar>
              <w:top w:type="dxa" w:w="80"/>
              <w:left w:type="dxa" w:w="160"/>
              <w:bottom w:type="dxa" w:w="80"/>
              <w:right w:type="dxa" w:w="160"/>
            </w:tcMar>
          </w:tcPr>
          <w:p>
            <w:r>
              <w:rPr>
                <w:rFonts w:ascii="Arial" w:cs="Arial" w:eastAsia="Arial" w:hAnsi="Arial"/>
                <w:b/>
                <w:bCs/>
                <w:color w:val="FFFFFF"/>
                <w:sz w:val="20"/>
                <w:szCs w:val="20"/>
              </w:rPr>
              <w:t xml:space="preserve">Description</w:t>
            </w:r>
          </w:p>
        </w:tc>
        <w:tc>
          <w:tcPr>
            <w:tcW w:type="dxa" w:w="3160"/>
            <w:tcBorders>
              <w:top w:val="single" w:color="CCCCCC" w:sz="1"/>
              <w:left w:val="single" w:color="CCCCCC" w:sz="1"/>
              <w:bottom w:val="single" w:color="CCCCCC" w:sz="1"/>
              <w:right w:val="single" w:color="CCCCCC" w:sz="1"/>
            </w:tcBorders>
            <w:shd w:fill="1B5E35" w:val="clear"/>
            <w:tcMar>
              <w:top w:type="dxa" w:w="80"/>
              <w:left w:type="dxa" w:w="160"/>
              <w:bottom w:type="dxa" w:w="80"/>
              <w:right w:type="dxa" w:w="160"/>
            </w:tcMar>
          </w:tcPr>
          <w:p>
            <w:r>
              <w:rPr>
                <w:rFonts w:ascii="Arial" w:cs="Arial" w:eastAsia="Arial" w:hAnsi="Arial"/>
                <w:b/>
                <w:bCs/>
                <w:color w:val="FFFFFF"/>
                <w:sz w:val="20"/>
                <w:szCs w:val="20"/>
              </w:rPr>
              <w:t xml:space="preserve">Valorisation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Liquidités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LIQ</w:t>
            </w:r>
          </w:p>
        </w:tc>
        <w:tc>
          <w:tcPr>
            <w:tcW w:type="dxa" w:w="30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Espèces DH + devises étrangères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DH + quantité × taux MAD</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Argent en Banque</w:t>
            </w:r>
          </w:p>
        </w:tc>
        <w:tc>
          <w:tcPr>
            <w:tcW w:type="dxa" w:w="10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BNQ</w:t>
            </w:r>
          </w:p>
        </w:tc>
        <w:tc>
          <w:tcPr>
            <w:tcW w:type="dxa" w:w="30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Comptes courants (multi-banques)</w:t>
            </w:r>
          </w:p>
        </w:tc>
        <w:tc>
          <w:tcPr>
            <w:tcW w:type="dxa" w:w="31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Solde direct en DH</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Compte sur Carnet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CRT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Comptes épargne réglementés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Solde + taux intérêt</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Compte PEA</w:t>
            </w:r>
          </w:p>
        </w:tc>
        <w:tc>
          <w:tcPr>
            <w:tcW w:type="dxa" w:w="10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PEA</w:t>
            </w:r>
          </w:p>
        </w:tc>
        <w:tc>
          <w:tcPr>
            <w:tcW w:type="dxa" w:w="30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Portefeuille actions BVC (exonéré)</w:t>
            </w:r>
          </w:p>
        </w:tc>
        <w:tc>
          <w:tcPr>
            <w:tcW w:type="dxa" w:w="31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Cours BVC × quantité</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Compte-Titre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CT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Actions BVC + OPCVM</w:t>
            </w:r>
          </w:p>
        </w:tc>
        <w:tc>
          <w:tcPr>
            <w:tcW w:type="dxa" w:w="31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Cours × qté + VL × parts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Immobilier</w:t>
            </w:r>
          </w:p>
        </w:tc>
        <w:tc>
          <w:tcPr>
            <w:tcW w:type="dxa" w:w="10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IMM</w:t>
            </w:r>
          </w:p>
        </w:tc>
        <w:tc>
          <w:tcPr>
            <w:tcW w:type="dxa" w:w="30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Biens bâtis + terrains</w:t>
            </w:r>
          </w:p>
        </w:tc>
        <w:tc>
          <w:tcPr>
            <w:tcW w:type="dxa" w:w="31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Estimatif (m²) ou offre reçue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Transport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VEH</w:t>
            </w:r>
          </w:p>
        </w:tc>
        <w:tc>
          <w:tcPr>
            <w:tcW w:type="dxa" w:w="30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Véhicules + autres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Estimatif ou offre reçue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Or &amp; Métaux Précieux</w:t>
            </w:r>
          </w:p>
        </w:tc>
        <w:tc>
          <w:tcPr>
            <w:tcW w:type="dxa" w:w="10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OR</w:t>
            </w:r>
          </w:p>
        </w:tc>
        <w:tc>
          <w:tcPr>
            <w:tcW w:type="dxa" w:w="30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Lingots, pièces (g)</w:t>
            </w:r>
          </w:p>
        </w:tc>
        <w:tc>
          <w:tcPr>
            <w:tcW w:type="dxa" w:w="31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Quantité × prix or temps réel</w:t>
            </w:r>
          </w:p>
        </w:tc>
      </w:tr>
    </w:tbl>
    <w:p>
      <w:pPr>
        <w:pStyle w:val="Heading2"/>
        <w:spacing w:after="140" w:before="280"/>
      </w:pPr>
      <w:r>
        <w:rPr>
          <w:rFonts w:ascii="Arial" w:cs="Arial" w:eastAsia="Arial" w:hAnsi="Arial"/>
          <w:b/>
          <w:bCs/>
          <w:color w:val="1A237E"/>
          <w:sz w:val="26"/>
          <w:szCs w:val="26"/>
        </w:rPr>
        <w:t xml:space="preserve">2.4 Indicateurs clés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CCCCCC" w:sz="1"/>
              <w:left w:val="single" w:color="CCCCCC" w:sz="1"/>
              <w:bottom w:val="single" w:color="CCCCCC" w:sz="1"/>
              <w:right w:val="single" w:color="CCCCCC" w:sz="1"/>
            </w:tcBorders>
            <w:shd w:fill="1B5E35" w:val="clear"/>
            <w:tcMar>
              <w:top w:type="dxa" w:w="80"/>
              <w:left w:type="dxa" w:w="160"/>
              <w:bottom w:type="dxa" w:w="80"/>
              <w:right w:type="dxa" w:w="160"/>
            </w:tcMar>
          </w:tcPr>
          <w:p>
            <w:r>
              <w:rPr>
                <w:rFonts w:ascii="Arial" w:cs="Arial" w:eastAsia="Arial" w:hAnsi="Arial"/>
                <w:b/>
                <w:bCs/>
                <w:color w:val="FFFFFF"/>
                <w:sz w:val="20"/>
                <w:szCs w:val="20"/>
              </w:rPr>
              <w:t xml:space="preserve">Indicateur</w:t>
            </w:r>
          </w:p>
        </w:tc>
        <w:tc>
          <w:tcPr>
            <w:tcW w:type="dxa" w:w="4860"/>
            <w:tcBorders>
              <w:top w:val="single" w:color="CCCCCC" w:sz="1"/>
              <w:left w:val="single" w:color="CCCCCC" w:sz="1"/>
              <w:bottom w:val="single" w:color="CCCCCC" w:sz="1"/>
              <w:right w:val="single" w:color="CCCCCC" w:sz="1"/>
            </w:tcBorders>
            <w:shd w:fill="1B5E35" w:val="clear"/>
            <w:tcMar>
              <w:top w:type="dxa" w:w="80"/>
              <w:left w:type="dxa" w:w="160"/>
              <w:bottom w:type="dxa" w:w="80"/>
              <w:right w:type="dxa" w:w="160"/>
            </w:tcMar>
          </w:tcPr>
          <w:p>
            <w:r>
              <w:rPr>
                <w:rFonts w:ascii="Arial" w:cs="Arial" w:eastAsia="Arial" w:hAnsi="Arial"/>
                <w:b/>
                <w:bCs/>
                <w:color w:val="FFFFFF"/>
                <w:sz w:val="20"/>
                <w:szCs w:val="20"/>
              </w:rPr>
              <w:t xml:space="preserve">Valeur</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Utilisateurs actifs</w:t>
            </w:r>
          </w:p>
        </w:tc>
        <w:tc>
          <w:tcPr>
            <w:tcW w:type="dxa" w:w="48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+12 400</w:t>
            </w:r>
          </w:p>
        </w:tc>
      </w:tr>
      <w:tr>
        <w:tc>
          <w:tcPr>
            <w:tcW w:type="dxa" w:w="45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Catégories d'actifs</w:t>
            </w:r>
          </w:p>
        </w:tc>
        <w:tc>
          <w:tcPr>
            <w:tcW w:type="dxa" w:w="48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8</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Sources de données marché</w:t>
            </w:r>
          </w:p>
        </w:tc>
        <w:tc>
          <w:tcPr>
            <w:tcW w:type="dxa" w:w="48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5 APIs externes</w:t>
            </w:r>
          </w:p>
        </w:tc>
      </w:tr>
      <w:tr>
        <w:tc>
          <w:tcPr>
            <w:tcW w:type="dxa" w:w="45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Taux conversion PatriMoi+</w:t>
            </w:r>
          </w:p>
        </w:tc>
        <w:tc>
          <w:tcPr>
            <w:tcW w:type="dxa" w:w="48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suivi via stats_admin view</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Plateforme cible principale</w:t>
            </w:r>
          </w:p>
        </w:tc>
        <w:tc>
          <w:tcPr>
            <w:tcW w:type="dxa" w:w="48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iOS 26 (iPhone)</w:t>
            </w:r>
          </w:p>
        </w:tc>
      </w:tr>
    </w:tbl>
    <w:p>
      <w:pPr>
        <w:pStyle w:val="Heading1"/>
        <w:pageBreakBefore/>
        <w:pBdr>
          <w:bottom w:val="single" w:color="1B5E35" w:sz="8" w:space="4"/>
        </w:pBdr>
        <w:spacing w:after="200" w:before="360"/>
      </w:pPr>
      <w:r>
        <w:rPr>
          <w:rFonts w:ascii="Arial" w:cs="Arial" w:eastAsia="Arial" w:hAnsi="Arial"/>
          <w:b/>
          <w:bCs/>
          <w:color w:val="1B5E35"/>
          <w:sz w:val="32"/>
          <w:szCs w:val="32"/>
        </w:rPr>
        <w:t xml:space="preserve">3. Architecture Globale</w:t>
      </w:r>
    </w:p>
    <w:p>
      <w:pPr>
        <w:pStyle w:val="Heading2"/>
        <w:spacing w:after="140" w:before="280"/>
      </w:pPr>
      <w:r>
        <w:rPr>
          <w:rFonts w:ascii="Arial" w:cs="Arial" w:eastAsia="Arial" w:hAnsi="Arial"/>
          <w:b/>
          <w:bCs/>
          <w:color w:val="1A237E"/>
          <w:sz w:val="26"/>
          <w:szCs w:val="26"/>
        </w:rPr>
        <w:t xml:space="preserve">3.1 Vue d'ensemble en couches</w:t>
      </w:r>
    </w:p>
    <w:p>
      <w:pPr>
        <w:spacing w:after="80" w:before="60"/>
      </w:pPr>
      <w:r>
        <w:rPr>
          <w:rFonts w:ascii="Arial" w:cs="Arial" w:eastAsia="Arial" w:hAnsi="Arial"/>
          <w:sz w:val="22"/>
          <w:szCs w:val="22"/>
        </w:rPr>
        <w:t xml:space="preserve">PatriMoi suit une architecture en couches clairement séparées, du client mobile jusqu'aux APIs cloud externes. Chaque couche a une responsabilité unique et communique uniquement avec la couche adjacente.</w:t>
      </w:r>
    </w:p>
    <w:p>
      <w:pPr>
        <w:spacing w:after="0" w:before="60"/>
      </w:pPr>
      <w:r>
        <w:t xml:space="preserve"/>
      </w:r>
    </w:p>
    <w:p>
      <w:pPr>
        <w:spacing w:after="60" w:before="120"/>
        <w:jc w:val="center"/>
      </w:pPr>
      <w:r>
        <w:drawing>
          <wp:inline distT="0" distB="0" distL="0" distR="0">
            <wp:extent cx="5905500" cy="3524250"/>
            <wp:effectExtent t="0" r="0" b="0" l="0"/>
            <wp:docPr id="1" name="schema_architecture.png" descr="schema_architecture.png" title="schema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524250"/>
                    </a:xfrm>
                    <a:prstGeom prst="rect">
                      <a:avLst/>
                    </a:prstGeom>
                  </pic:spPr>
                </pic:pic>
              </a:graphicData>
            </a:graphic>
          </wp:inline>
        </w:drawing>
      </w:r>
    </w:p>
    <w:p>
      <w:pPr>
        <w:spacing w:after="160" w:before="60"/>
        <w:jc w:val="center"/>
      </w:pPr>
      <w:r>
        <w:rPr>
          <w:rFonts w:ascii="Arial" w:cs="Arial" w:eastAsia="Arial" w:hAnsi="Arial"/>
          <w:i/>
          <w:iCs/>
          <w:color w:val="607D8B"/>
          <w:sz w:val="18"/>
          <w:szCs w:val="18"/>
        </w:rPr>
        <w:t xml:space="preserve">Figure 1 — Architecture globale PatriMoi v1.6 en 6 couches</w:t>
      </w:r>
    </w:p>
    <w:p>
      <w:pPr>
        <w:pStyle w:val="Heading2"/>
        <w:spacing w:after="140" w:before="280"/>
      </w:pPr>
      <w:r>
        <w:rPr>
          <w:rFonts w:ascii="Arial" w:cs="Arial" w:eastAsia="Arial" w:hAnsi="Arial"/>
          <w:b/>
          <w:bCs/>
          <w:color w:val="1A237E"/>
          <w:sz w:val="26"/>
          <w:szCs w:val="26"/>
        </w:rPr>
        <w:t xml:space="preserve">3.2 Principes architecturaux</w:t>
      </w:r>
    </w:p>
    <w:p>
      <w:pPr>
        <w:pStyle w:val="ListParagraph"/>
        <w:numPr>
          <w:ilvl w:val="0"/>
          <w:numId w:val="2"/>
        </w:numPr>
        <w:spacing w:after="40" w:before="40"/>
      </w:pPr>
      <w:r>
        <w:rPr>
          <w:rFonts w:ascii="Arial" w:cs="Arial" w:eastAsia="Arial" w:hAnsi="Arial"/>
          <w:sz w:val="22"/>
          <w:szCs w:val="22"/>
        </w:rPr>
        <w:t xml:space="preserve">Séparation des responsabilités (SRP) — chaque module a un rôle unique</w:t>
      </w:r>
    </w:p>
    <w:p>
      <w:pPr>
        <w:pStyle w:val="ListParagraph"/>
        <w:numPr>
          <w:ilvl w:val="0"/>
          <w:numId w:val="2"/>
        </w:numPr>
        <w:spacing w:after="40" w:before="40"/>
      </w:pPr>
      <w:r>
        <w:rPr>
          <w:rFonts w:ascii="Arial" w:cs="Arial" w:eastAsia="Arial" w:hAnsi="Arial"/>
          <w:sz w:val="22"/>
          <w:szCs w:val="22"/>
        </w:rPr>
        <w:t xml:space="preserve">Pure functions first — toutes les fonctions de calcul (calc.js) sont pures et sans effets de bord</w:t>
      </w:r>
    </w:p>
    <w:p>
      <w:pPr>
        <w:pStyle w:val="ListParagraph"/>
        <w:numPr>
          <w:ilvl w:val="0"/>
          <w:numId w:val="2"/>
        </w:numPr>
        <w:spacing w:after="40" w:before="40"/>
      </w:pPr>
      <w:r>
        <w:rPr>
          <w:rFonts w:ascii="Arial" w:cs="Arial" w:eastAsia="Arial" w:hAnsi="Arial"/>
          <w:sz w:val="22"/>
          <w:szCs w:val="22"/>
        </w:rPr>
        <w:t xml:space="preserve">Single source of truth — Zustand Store est l'unique source de vérité de l'état</w:t>
      </w:r>
    </w:p>
    <w:p>
      <w:pPr>
        <w:pStyle w:val="ListParagraph"/>
        <w:numPr>
          <w:ilvl w:val="0"/>
          <w:numId w:val="2"/>
        </w:numPr>
        <w:spacing w:after="40" w:before="40"/>
      </w:pPr>
      <w:r>
        <w:rPr>
          <w:rFonts w:ascii="Arial" w:cs="Arial" w:eastAsia="Arial" w:hAnsi="Arial"/>
          <w:sz w:val="22"/>
          <w:szCs w:val="22"/>
        </w:rPr>
        <w:t xml:space="preserve">Offline-first — données locales (AsyncStorage) + sync cloud différée</w:t>
      </w:r>
    </w:p>
    <w:p>
      <w:pPr>
        <w:pStyle w:val="ListParagraph"/>
        <w:numPr>
          <w:ilvl w:val="0"/>
          <w:numId w:val="2"/>
        </w:numPr>
        <w:spacing w:after="40" w:before="40"/>
      </w:pPr>
      <w:r>
        <w:rPr>
          <w:rFonts w:ascii="Arial" w:cs="Arial" w:eastAsia="Arial" w:hAnsi="Arial"/>
          <w:sz w:val="22"/>
          <w:szCs w:val="22"/>
        </w:rPr>
        <w:t xml:space="preserve">Proxy pattern — Edge Function comme point d'entrée unique pour les APIs externes</w:t>
      </w:r>
    </w:p>
    <w:p>
      <w:pPr>
        <w:pStyle w:val="ListParagraph"/>
        <w:numPr>
          <w:ilvl w:val="0"/>
          <w:numId w:val="2"/>
        </w:numPr>
        <w:spacing w:after="40" w:before="40"/>
      </w:pPr>
      <w:r>
        <w:rPr>
          <w:rFonts w:ascii="Arial" w:cs="Arial" w:eastAsia="Arial" w:hAnsi="Arial"/>
          <w:sz w:val="22"/>
          <w:szCs w:val="22"/>
        </w:rPr>
        <w:t xml:space="preserve">Defense in depth — RLS + JWT + biométrie + mode discret</w:t>
      </w:r>
    </w:p>
    <w:p>
      <w:pPr>
        <w:pStyle w:val="Heading2"/>
        <w:spacing w:after="140" w:before="280"/>
      </w:pPr>
      <w:r>
        <w:rPr>
          <w:rFonts w:ascii="Arial" w:cs="Arial" w:eastAsia="Arial" w:hAnsi="Arial"/>
          <w:b/>
          <w:bCs/>
          <w:color w:val="1A237E"/>
          <w:sz w:val="26"/>
          <w:szCs w:val="26"/>
        </w:rPr>
        <w:t xml:space="preserve">3.3 Stack technique consolidée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400"/>
        <w:gridCol w:w="3760"/>
      </w:tblGrid>
      <w:tr>
        <w:trPr>
          <w:tblHeader/>
        </w:trPr>
        <w:tc>
          <w:tcPr>
            <w:tcW w:type="dxa" w:w="2200"/>
            <w:tcBorders>
              <w:top w:val="single" w:color="CCCCCC" w:sz="1"/>
              <w:left w:val="single" w:color="CCCCCC" w:sz="1"/>
              <w:bottom w:val="single" w:color="CCCCCC" w:sz="1"/>
              <w:right w:val="single" w:color="CCCCCC" w:sz="1"/>
            </w:tcBorders>
            <w:shd w:fill="1B5E35" w:val="clear"/>
            <w:tcMar>
              <w:top w:type="dxa" w:w="80"/>
              <w:left w:type="dxa" w:w="160"/>
              <w:bottom w:type="dxa" w:w="80"/>
              <w:right w:type="dxa" w:w="160"/>
            </w:tcMar>
          </w:tcPr>
          <w:p>
            <w:r>
              <w:rPr>
                <w:rFonts w:ascii="Arial" w:cs="Arial" w:eastAsia="Arial" w:hAnsi="Arial"/>
                <w:b/>
                <w:bCs/>
                <w:color w:val="FFFFFF"/>
                <w:sz w:val="20"/>
                <w:szCs w:val="20"/>
              </w:rPr>
              <w:t xml:space="preserve">Catégorie</w:t>
            </w:r>
          </w:p>
        </w:tc>
        <w:tc>
          <w:tcPr>
            <w:tcW w:type="dxa" w:w="2000"/>
            <w:tcBorders>
              <w:top w:val="single" w:color="CCCCCC" w:sz="1"/>
              <w:left w:val="single" w:color="CCCCCC" w:sz="1"/>
              <w:bottom w:val="single" w:color="CCCCCC" w:sz="1"/>
              <w:right w:val="single" w:color="CCCCCC" w:sz="1"/>
            </w:tcBorders>
            <w:shd w:fill="1B5E35" w:val="clear"/>
            <w:tcMar>
              <w:top w:type="dxa" w:w="80"/>
              <w:left w:type="dxa" w:w="160"/>
              <w:bottom w:type="dxa" w:w="80"/>
              <w:right w:type="dxa" w:w="160"/>
            </w:tcMar>
          </w:tcPr>
          <w:p>
            <w:r>
              <w:rPr>
                <w:rFonts w:ascii="Arial" w:cs="Arial" w:eastAsia="Arial" w:hAnsi="Arial"/>
                <w:b/>
                <w:bCs/>
                <w:color w:val="FFFFFF"/>
                <w:sz w:val="20"/>
                <w:szCs w:val="20"/>
              </w:rPr>
              <w:t xml:space="preserve">Technologie</w:t>
            </w:r>
          </w:p>
        </w:tc>
        <w:tc>
          <w:tcPr>
            <w:tcW w:type="dxa" w:w="1400"/>
            <w:tcBorders>
              <w:top w:val="single" w:color="CCCCCC" w:sz="1"/>
              <w:left w:val="single" w:color="CCCCCC" w:sz="1"/>
              <w:bottom w:val="single" w:color="CCCCCC" w:sz="1"/>
              <w:right w:val="single" w:color="CCCCCC" w:sz="1"/>
            </w:tcBorders>
            <w:shd w:fill="1B5E35" w:val="clear"/>
            <w:tcMar>
              <w:top w:type="dxa" w:w="80"/>
              <w:left w:type="dxa" w:w="160"/>
              <w:bottom w:type="dxa" w:w="80"/>
              <w:right w:type="dxa" w:w="160"/>
            </w:tcMar>
          </w:tcPr>
          <w:p>
            <w:r>
              <w:rPr>
                <w:rFonts w:ascii="Arial" w:cs="Arial" w:eastAsia="Arial" w:hAnsi="Arial"/>
                <w:b/>
                <w:bCs/>
                <w:color w:val="FFFFFF"/>
                <w:sz w:val="20"/>
                <w:szCs w:val="20"/>
              </w:rPr>
              <w:t xml:space="preserve">Version</w:t>
            </w:r>
          </w:p>
        </w:tc>
        <w:tc>
          <w:tcPr>
            <w:tcW w:type="dxa" w:w="3760"/>
            <w:tcBorders>
              <w:top w:val="single" w:color="CCCCCC" w:sz="1"/>
              <w:left w:val="single" w:color="CCCCCC" w:sz="1"/>
              <w:bottom w:val="single" w:color="CCCCCC" w:sz="1"/>
              <w:right w:val="single" w:color="CCCCCC" w:sz="1"/>
            </w:tcBorders>
            <w:shd w:fill="1B5E35" w:val="clear"/>
            <w:tcMar>
              <w:top w:type="dxa" w:w="80"/>
              <w:left w:type="dxa" w:w="160"/>
              <w:bottom w:type="dxa" w:w="80"/>
              <w:right w:type="dxa" w:w="160"/>
            </w:tcMar>
          </w:tcPr>
          <w:p>
            <w:r>
              <w:rPr>
                <w:rFonts w:ascii="Arial" w:cs="Arial" w:eastAsia="Arial" w:hAnsi="Arial"/>
                <w:b/>
                <w:bCs/>
                <w:color w:val="FFFFFF"/>
                <w:sz w:val="20"/>
                <w:szCs w:val="20"/>
              </w:rPr>
              <w:t xml:space="preserve">Rôle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Runtime mobile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React Native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0.75.4</w:t>
            </w:r>
          </w:p>
        </w:tc>
        <w:tc>
          <w:tcPr>
            <w:tcW w:type="dxa" w:w="37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Framework UI cross-platform</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Moteur JS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Hermes</w:t>
            </w:r>
          </w:p>
        </w:tc>
        <w:tc>
          <w:tcPr>
            <w:tcW w:type="dxa" w:w="14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Dernière</w:t>
            </w:r>
          </w:p>
        </w:tc>
        <w:tc>
          <w:tcPr>
            <w:tcW w:type="dxa" w:w="37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Optimisé pour mobile, cold start réduit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Architecture native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TurboModules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0.75.4</w:t>
            </w:r>
          </w:p>
        </w:tc>
        <w:tc>
          <w:tcPr>
            <w:tcW w:type="dxa" w:w="37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Bridge natif nouvelle génération</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Gestion d'état</w:t>
            </w:r>
          </w:p>
        </w:tc>
        <w:tc>
          <w:tcPr>
            <w:tcW w:type="dxa" w:w="20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Zustand</w:t>
            </w:r>
          </w:p>
        </w:tc>
        <w:tc>
          <w:tcPr>
            <w:tcW w:type="dxa" w:w="14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^4.x</w:t>
            </w:r>
          </w:p>
        </w:tc>
        <w:tc>
          <w:tcPr>
            <w:tcW w:type="dxa" w:w="37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Store global léger et performant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Backend as a Service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Supabase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^2.110.0</w:t>
            </w:r>
          </w:p>
        </w:tc>
        <w:tc>
          <w:tcPr>
            <w:tcW w:type="dxa" w:w="37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Auth + DB + Edge Functions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Base de données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PostgreSQL</w:t>
            </w:r>
          </w:p>
        </w:tc>
        <w:tc>
          <w:tcPr>
            <w:tcW w:type="dxa" w:w="14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15 (Supabase)</w:t>
            </w:r>
          </w:p>
        </w:tc>
        <w:tc>
          <w:tcPr>
            <w:tcW w:type="dxa" w:w="37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Données utilisateurs (JSONB)</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Edge Functions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Deno (TypeScript)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Latest</w:t>
            </w:r>
          </w:p>
        </w:tc>
        <w:tc>
          <w:tcPr>
            <w:tcW w:type="dxa" w:w="37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Proxy APIs marché, cache centralisé</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Persistance locale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AsyncStorage</w:t>
            </w:r>
          </w:p>
        </w:tc>
        <w:tc>
          <w:tcPr>
            <w:tcW w:type="dxa" w:w="14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^2.x</w:t>
            </w:r>
          </w:p>
        </w:tc>
        <w:tc>
          <w:tcPr>
            <w:tcW w:type="dxa" w:w="37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Cache BVC + session JWT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Biométrie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react-native-biometrics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Latest</w:t>
            </w:r>
          </w:p>
        </w:tc>
        <w:tc>
          <w:tcPr>
            <w:tcW w:type="dxa" w:w="37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Face ID / Touch ID</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Plateforme cible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iOS</w:t>
            </w:r>
          </w:p>
        </w:tc>
        <w:tc>
          <w:tcPr>
            <w:tcW w:type="dxa" w:w="14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26.4</w:t>
            </w:r>
          </w:p>
        </w:tc>
        <w:tc>
          <w:tcPr>
            <w:tcW w:type="dxa" w:w="37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iPhone 17 (simulateur + réel)</w:t>
            </w:r>
          </w:p>
        </w:tc>
      </w:tr>
    </w:tbl>
    <w:p>
      <w:pPr>
        <w:pStyle w:val="Heading1"/>
        <w:pageBreakBefore/>
        <w:pBdr>
          <w:bottom w:val="single" w:color="1B5E35" w:sz="8" w:space="4"/>
        </w:pBdr>
        <w:spacing w:after="200" w:before="360"/>
      </w:pPr>
      <w:r>
        <w:rPr>
          <w:rFonts w:ascii="Arial" w:cs="Arial" w:eastAsia="Arial" w:hAnsi="Arial"/>
          <w:b/>
          <w:bCs/>
          <w:color w:val="1B5E35"/>
          <w:sz w:val="32"/>
          <w:szCs w:val="32"/>
        </w:rPr>
        <w:t xml:space="preserve">4. Architecture Applicative</w:t>
      </w:r>
    </w:p>
    <w:p>
      <w:pPr>
        <w:pStyle w:val="Heading2"/>
        <w:spacing w:after="140" w:before="280"/>
      </w:pPr>
      <w:r>
        <w:rPr>
          <w:rFonts w:ascii="Arial" w:cs="Arial" w:eastAsia="Arial" w:hAnsi="Arial"/>
          <w:b/>
          <w:bCs/>
          <w:color w:val="1A237E"/>
          <w:sz w:val="26"/>
          <w:szCs w:val="26"/>
        </w:rPr>
        <w:t xml:space="preserve">4.1 Structure des pages</w:t>
      </w:r>
    </w:p>
    <w:p>
      <w:pPr>
        <w:spacing w:after="80" w:before="60"/>
      </w:pPr>
      <w:r>
        <w:rPr>
          <w:rFonts w:ascii="Arial" w:cs="Arial" w:eastAsia="Arial" w:hAnsi="Arial"/>
          <w:sz w:val="22"/>
          <w:szCs w:val="22"/>
        </w:rPr>
        <w:t xml:space="preserve">L'application est composée de 8 pages React Native, organisées autour d'une NavBar à 6 onglets. La navigation est gérée sans react-navigation (navigation custom via Zustand) pour limiter les dépendances et les bundles.</w:t>
      </w:r>
    </w:p>
    <w:p>
      <w:pPr>
        <w:spacing w:after="0" w:before="60"/>
      </w:pPr>
      <w:r>
        <w:t xml:space="preserve"/>
      </w:r>
    </w:p>
    <w:p>
      <w:pPr>
        <w:spacing w:after="60" w:before="120"/>
        <w:jc w:val="center"/>
      </w:pPr>
      <w:r>
        <w:drawing>
          <wp:inline distT="0" distB="0" distL="0" distR="0">
            <wp:extent cx="5905500" cy="3429000"/>
            <wp:effectExtent t="0" r="0" b="0" l="0"/>
            <wp:docPr id="1" name="schema_navigation.png" descr="schema_navigation.png" title="schema_navig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429000"/>
                    </a:xfrm>
                    <a:prstGeom prst="rect">
                      <a:avLst/>
                    </a:prstGeom>
                  </pic:spPr>
                </pic:pic>
              </a:graphicData>
            </a:graphic>
          </wp:inline>
        </w:drawing>
      </w:r>
    </w:p>
    <w:p>
      <w:pPr>
        <w:spacing w:after="160" w:before="60"/>
        <w:jc w:val="center"/>
      </w:pPr>
      <w:r>
        <w:rPr>
          <w:rFonts w:ascii="Arial" w:cs="Arial" w:eastAsia="Arial" w:hAnsi="Arial"/>
          <w:i/>
          <w:iCs/>
          <w:color w:val="607D8B"/>
          <w:sz w:val="18"/>
          <w:szCs w:val="18"/>
        </w:rPr>
        <w:t xml:space="preserve">Figure 2 — Structure de navigation et détail des pages PatriMoi</w:t>
      </w:r>
    </w:p>
    <w:p>
      <w:pPr>
        <w:spacing w:after="0" w:before="60"/>
      </w:pPr>
      <w:r>
        <w:t xml:space="preserve"/>
      </w:r>
    </w:p>
    <w:p>
      <w:pPr>
        <w:pStyle w:val="Heading3"/>
        <w:spacing w:after="100" w:before="200"/>
      </w:pPr>
      <w:r>
        <w:rPr>
          <w:rFonts w:ascii="Arial" w:cs="Arial" w:eastAsia="Arial" w:hAnsi="Arial"/>
          <w:b/>
          <w:bCs/>
          <w:color w:val="00695C"/>
          <w:sz w:val="22"/>
          <w:szCs w:val="22"/>
        </w:rPr>
        <w:t xml:space="preserve">PageDashboard — Tableau de bord principal</w:t>
      </w:r>
    </w:p>
    <w:p>
      <w:pPr>
        <w:pStyle w:val="ListParagraph"/>
        <w:numPr>
          <w:ilvl w:val="0"/>
          <w:numId w:val="2"/>
        </w:numPr>
        <w:spacing w:after="40" w:before="40"/>
      </w:pPr>
      <w:r>
        <w:rPr>
          <w:rFonts w:ascii="Arial" w:cs="Arial" w:eastAsia="Arial" w:hAnsi="Arial"/>
          <w:sz w:val="22"/>
          <w:szCs w:val="22"/>
        </w:rPr>
        <w:t xml:space="preserve">Patrimoine total + indicateur P&amp;L global (depuis premier historique)</w:t>
      </w:r>
    </w:p>
    <w:p>
      <w:pPr>
        <w:pStyle w:val="ListParagraph"/>
        <w:numPr>
          <w:ilvl w:val="0"/>
          <w:numId w:val="2"/>
        </w:numPr>
        <w:spacing w:after="40" w:before="40"/>
      </w:pPr>
      <w:r>
        <w:rPr>
          <w:rFonts w:ascii="Arial" w:cs="Arial" w:eastAsia="Arial" w:hAnsi="Arial"/>
          <w:sz w:val="22"/>
          <w:szCs w:val="22"/>
        </w:rPr>
        <w:t xml:space="preserve">Sparkline interactif 5 périodes (1S / 1M / 3M / 6M / 1A / MAX)</w:t>
      </w:r>
    </w:p>
    <w:p>
      <w:pPr>
        <w:pStyle w:val="ListParagraph"/>
        <w:numPr>
          <w:ilvl w:val="0"/>
          <w:numId w:val="2"/>
        </w:numPr>
        <w:spacing w:after="40" w:before="40"/>
      </w:pPr>
      <w:r>
        <w:rPr>
          <w:rFonts w:ascii="Arial" w:cs="Arial" w:eastAsia="Arial" w:hAnsi="Arial"/>
          <w:sz w:val="22"/>
          <w:szCs w:val="22"/>
        </w:rPr>
        <w:t xml:space="preserve">Bilan du jour : Or/gramme · P&amp;L total % · MASI cours + variation · Actifs actifs</w:t>
      </w:r>
    </w:p>
    <w:p>
      <w:pPr>
        <w:pStyle w:val="ListParagraph"/>
        <w:numPr>
          <w:ilvl w:val="0"/>
          <w:numId w:val="2"/>
        </w:numPr>
        <w:spacing w:after="40" w:before="40"/>
      </w:pPr>
      <w:r>
        <w:rPr>
          <w:rFonts w:ascii="Arial" w:cs="Arial" w:eastAsia="Arial" w:hAnsi="Arial"/>
          <w:sz w:val="22"/>
          <w:szCs w:val="22"/>
        </w:rPr>
        <w:t xml:space="preserve">Donut répartition 8 catégories avec légende complète</w:t>
      </w:r>
    </w:p>
    <w:p>
      <w:pPr>
        <w:pStyle w:val="ListParagraph"/>
        <w:numPr>
          <w:ilvl w:val="0"/>
          <w:numId w:val="2"/>
        </w:numPr>
        <w:spacing w:after="40" w:before="40"/>
      </w:pPr>
      <w:r>
        <w:rPr>
          <w:rFonts w:ascii="Arial" w:cs="Arial" w:eastAsia="Arial" w:hAnsi="Arial"/>
          <w:sz w:val="22"/>
          <w:szCs w:val="22"/>
        </w:rPr>
        <w:t xml:space="preserve">Liste catégories cliquable → navigation directe au détail (initialSub prop)</w:t>
      </w:r>
    </w:p>
    <w:p>
      <w:pPr>
        <w:pStyle w:val="Heading3"/>
        <w:spacing w:after="100" w:before="200"/>
      </w:pPr>
      <w:r>
        <w:rPr>
          <w:rFonts w:ascii="Arial" w:cs="Arial" w:eastAsia="Arial" w:hAnsi="Arial"/>
          <w:b/>
          <w:bCs/>
          <w:color w:val="00695C"/>
          <w:sz w:val="22"/>
          <w:szCs w:val="22"/>
        </w:rPr>
        <w:t xml:space="preserve">PageActifs — Gestionnaire d'actifs</w:t>
      </w:r>
    </w:p>
    <w:p>
      <w:pPr>
        <w:pStyle w:val="ListParagraph"/>
        <w:numPr>
          <w:ilvl w:val="0"/>
          <w:numId w:val="2"/>
        </w:numPr>
        <w:spacing w:after="40" w:before="40"/>
      </w:pPr>
      <w:r>
        <w:rPr>
          <w:rFonts w:ascii="Arial" w:cs="Arial" w:eastAsia="Arial" w:hAnsi="Arial"/>
          <w:sz w:val="22"/>
          <w:szCs w:val="22"/>
        </w:rPr>
        <w:t xml:space="preserve">8 sous-pages dédiées, accessibles par onglets latéraux</w:t>
      </w:r>
    </w:p>
    <w:p>
      <w:pPr>
        <w:pStyle w:val="ListParagraph"/>
        <w:numPr>
          <w:ilvl w:val="0"/>
          <w:numId w:val="2"/>
        </w:numPr>
        <w:spacing w:after="40" w:before="40"/>
      </w:pPr>
      <w:r>
        <w:rPr>
          <w:rFonts w:ascii="Arial" w:cs="Arial" w:eastAsia="Arial" w:hAnsi="Arial"/>
          <w:sz w:val="22"/>
          <w:szCs w:val="22"/>
        </w:rPr>
        <w:t xml:space="preserve">Formulaires d'ajout / modification / suppression pour chaque actif</w:t>
      </w:r>
    </w:p>
    <w:p>
      <w:pPr>
        <w:pStyle w:val="ListParagraph"/>
        <w:numPr>
          <w:ilvl w:val="0"/>
          <w:numId w:val="2"/>
        </w:numPr>
        <w:spacing w:after="40" w:before="40"/>
      </w:pPr>
      <w:r>
        <w:rPr>
          <w:rFonts w:ascii="Arial" w:cs="Arial" w:eastAsia="Arial" w:hAnsi="Arial"/>
          <w:sz w:val="22"/>
          <w:szCs w:val="22"/>
        </w:rPr>
        <w:t xml:space="preserve">Valorisation temps réel pour PEA et CT (cours BVC)</w:t>
      </w:r>
    </w:p>
    <w:p>
      <w:pPr>
        <w:pStyle w:val="ListParagraph"/>
        <w:numPr>
          <w:ilvl w:val="0"/>
          <w:numId w:val="2"/>
        </w:numPr>
        <w:spacing w:after="40" w:before="40"/>
      </w:pPr>
      <w:r>
        <w:rPr>
          <w:rFonts w:ascii="Arial" w:cs="Arial" w:eastAsia="Arial" w:hAnsi="Arial"/>
          <w:sz w:val="22"/>
          <w:szCs w:val="22"/>
        </w:rPr>
        <w:t xml:space="preserve">Méthode d'évaluation double (estimatif vs offre reçue) pour Immo &amp; Transport</w:t>
      </w:r>
    </w:p>
    <w:p>
      <w:pPr>
        <w:pStyle w:val="Heading3"/>
        <w:spacing w:after="100" w:before="200"/>
      </w:pPr>
      <w:r>
        <w:rPr>
          <w:rFonts w:ascii="Arial" w:cs="Arial" w:eastAsia="Arial" w:hAnsi="Arial"/>
          <w:b/>
          <w:bCs/>
          <w:color w:val="00695C"/>
          <w:sz w:val="22"/>
          <w:szCs w:val="22"/>
        </w:rPr>
        <w:t xml:space="preserve">PageConseils — Intelligence patrimoniale</w:t>
      </w:r>
    </w:p>
    <w:p>
      <w:pPr>
        <w:pStyle w:val="ListParagraph"/>
        <w:numPr>
          <w:ilvl w:val="0"/>
          <w:numId w:val="2"/>
        </w:numPr>
        <w:spacing w:after="40" w:before="40"/>
      </w:pPr>
      <w:r>
        <w:rPr>
          <w:rFonts w:ascii="Arial" w:cs="Arial" w:eastAsia="Arial" w:hAnsi="Arial"/>
          <w:sz w:val="22"/>
          <w:szCs w:val="22"/>
        </w:rPr>
        <w:t xml:space="preserve">Conseils personnalisés générés algorithmiquement (generateConseils)</w:t>
      </w:r>
    </w:p>
    <w:p>
      <w:pPr>
        <w:pStyle w:val="ListParagraph"/>
        <w:numPr>
          <w:ilvl w:val="0"/>
          <w:numId w:val="2"/>
        </w:numPr>
        <w:spacing w:after="40" w:before="40"/>
      </w:pPr>
      <w:r>
        <w:rPr>
          <w:rFonts w:ascii="Arial" w:cs="Arial" w:eastAsia="Arial" w:hAnsi="Arial"/>
          <w:sz w:val="22"/>
          <w:szCs w:val="22"/>
        </w:rPr>
        <w:t xml:space="preserve">Score de santé patrimoniale 0-100 (4 dimensions : diversification, épargne, BVC, liquidité)</w:t>
      </w:r>
    </w:p>
    <w:p>
      <w:pPr>
        <w:pStyle w:val="ListParagraph"/>
        <w:numPr>
          <w:ilvl w:val="0"/>
          <w:numId w:val="2"/>
        </w:numPr>
        <w:spacing w:after="40" w:before="40"/>
      </w:pPr>
      <w:r>
        <w:rPr>
          <w:rFonts w:ascii="Arial" w:cs="Arial" w:eastAsia="Arial" w:hAnsi="Arial"/>
          <w:sz w:val="22"/>
          <w:szCs w:val="22"/>
        </w:rPr>
        <w:t xml:space="preserve">Guides thématiques (grille 2×2, navigation externe vers ressources officielles)</w:t>
      </w:r>
    </w:p>
    <w:p>
      <w:pPr>
        <w:pStyle w:val="ListParagraph"/>
        <w:numPr>
          <w:ilvl w:val="0"/>
          <w:numId w:val="2"/>
        </w:numPr>
        <w:spacing w:after="40" w:before="40"/>
      </w:pPr>
      <w:r>
        <w:rPr>
          <w:rFonts w:ascii="Arial" w:cs="Arial" w:eastAsia="Arial" w:hAnsi="Arial"/>
          <w:sz w:val="22"/>
          <w:szCs w:val="22"/>
        </w:rPr>
        <w:t xml:space="preserve">Sources officielles cliquables : BVC, AMMC, BAM, Mubawab, OPCVM, Yakeen</w:t>
      </w:r>
    </w:p>
    <w:p>
      <w:pPr>
        <w:pStyle w:val="Heading2"/>
        <w:spacing w:after="140" w:before="280"/>
      </w:pPr>
      <w:r>
        <w:rPr>
          <w:rFonts w:ascii="Arial" w:cs="Arial" w:eastAsia="Arial" w:hAnsi="Arial"/>
          <w:b/>
          <w:bCs/>
          <w:color w:val="1A237E"/>
          <w:sz w:val="26"/>
          <w:szCs w:val="26"/>
        </w:rPr>
        <w:t xml:space="preserve">4.2 Gestion d'état — Zustand Store</w:t>
      </w:r>
    </w:p>
    <w:p>
      <w:pPr>
        <w:spacing w:after="80" w:before="60"/>
      </w:pPr>
      <w:r>
        <w:rPr>
          <w:rFonts w:ascii="Arial" w:cs="Arial" w:eastAsia="Arial" w:hAnsi="Arial"/>
          <w:sz w:val="22"/>
          <w:szCs w:val="22"/>
        </w:rPr>
        <w:t xml:space="preserve">Tout l'état de l'application est centralisé dans un unique store Zustand (patrimoineStore.js). Chaque composant souscrit uniquement au slice dont il a besoin via un sélecteur.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CCCCC" w:sz="1"/>
              <w:left w:val="single" w:color="CCCCCC" w:sz="1"/>
              <w:bottom w:val="single" w:color="CCCCCC" w:sz="1"/>
              <w:right w:val="single" w:color="CCCCCC" w:sz="1"/>
            </w:tcBorders>
            <w:shd w:fill="1B5E35" w:val="clear"/>
            <w:tcMar>
              <w:top w:type="dxa" w:w="80"/>
              <w:left w:type="dxa" w:w="160"/>
              <w:bottom w:type="dxa" w:w="80"/>
              <w:right w:type="dxa" w:w="160"/>
            </w:tcMar>
          </w:tcPr>
          <w:p>
            <w:r>
              <w:rPr>
                <w:rFonts w:ascii="Arial" w:cs="Arial" w:eastAsia="Arial" w:hAnsi="Arial"/>
                <w:b/>
                <w:bCs/>
                <w:color w:val="FFFFFF"/>
                <w:sz w:val="20"/>
                <w:szCs w:val="20"/>
              </w:rPr>
              <w:t xml:space="preserve">Slice</w:t>
            </w:r>
          </w:p>
        </w:tc>
        <w:tc>
          <w:tcPr>
            <w:tcW w:type="dxa" w:w="2400"/>
            <w:tcBorders>
              <w:top w:val="single" w:color="CCCCCC" w:sz="1"/>
              <w:left w:val="single" w:color="CCCCCC" w:sz="1"/>
              <w:bottom w:val="single" w:color="CCCCCC" w:sz="1"/>
              <w:right w:val="single" w:color="CCCCCC" w:sz="1"/>
            </w:tcBorders>
            <w:shd w:fill="1B5E35" w:val="clear"/>
            <w:tcMar>
              <w:top w:type="dxa" w:w="80"/>
              <w:left w:type="dxa" w:w="160"/>
              <w:bottom w:type="dxa" w:w="80"/>
              <w:right w:type="dxa" w:w="160"/>
            </w:tcMar>
          </w:tcPr>
          <w:p>
            <w:r>
              <w:rPr>
                <w:rFonts w:ascii="Arial" w:cs="Arial" w:eastAsia="Arial" w:hAnsi="Arial"/>
                <w:b/>
                <w:bCs/>
                <w:color w:val="FFFFFF"/>
                <w:sz w:val="20"/>
                <w:szCs w:val="20"/>
              </w:rPr>
              <w:t xml:space="preserve">Type</w:t>
            </w:r>
          </w:p>
        </w:tc>
        <w:tc>
          <w:tcPr>
            <w:tcW w:type="dxa" w:w="4760"/>
            <w:tcBorders>
              <w:top w:val="single" w:color="CCCCCC" w:sz="1"/>
              <w:left w:val="single" w:color="CCCCCC" w:sz="1"/>
              <w:bottom w:val="single" w:color="CCCCCC" w:sz="1"/>
              <w:right w:val="single" w:color="CCCCCC" w:sz="1"/>
            </w:tcBorders>
            <w:shd w:fill="1B5E35" w:val="clear"/>
            <w:tcMar>
              <w:top w:type="dxa" w:w="80"/>
              <w:left w:type="dxa" w:w="160"/>
              <w:bottom w:type="dxa" w:w="80"/>
              <w:right w:type="dxa" w:w="16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data</w:t>
            </w:r>
          </w:p>
        </w:tc>
        <w:tc>
          <w:tcPr>
            <w:tcW w:type="dxa" w:w="24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Object (JSONB)</w:t>
            </w:r>
          </w:p>
        </w:tc>
        <w:tc>
          <w:tcPr>
            <w:tcW w:type="dxa" w:w="47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Toutes les données patrimoine (8 catégories)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user</w:t>
            </w:r>
          </w:p>
        </w:tc>
        <w:tc>
          <w:tcPr>
            <w:tcW w:type="dxa" w:w="24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Supabase User | null</w:t>
            </w:r>
          </w:p>
        </w:tc>
        <w:tc>
          <w:tcPr>
            <w:tcW w:type="dxa" w:w="47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Objet utilisateur authentifié</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demoMode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boolean</w:t>
            </w:r>
          </w:p>
        </w:tc>
        <w:tc>
          <w:tcPr>
            <w:tcW w:type="dxa" w:w="47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Mode démo (sans compte)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authReady / appReady</w:t>
            </w:r>
          </w:p>
        </w:tc>
        <w:tc>
          <w:tcPr>
            <w:tcW w:type="dxa" w:w="24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boolean</w:t>
            </w:r>
          </w:p>
        </w:tc>
        <w:tc>
          <w:tcPr>
            <w:tcW w:type="dxa" w:w="47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Flags de chargement initial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page / sub</w:t>
            </w:r>
          </w:p>
        </w:tc>
        <w:tc>
          <w:tcPr>
            <w:tcW w:type="dxa" w:w="24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string | null</w:t>
            </w:r>
          </w:p>
        </w:tc>
        <w:tc>
          <w:tcPr>
            <w:tcW w:type="dxa" w:w="47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Navigation courante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discret</w:t>
            </w:r>
          </w:p>
        </w:tc>
        <w:tc>
          <w:tcPr>
            <w:tcW w:type="dxa" w:w="24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boolean</w:t>
            </w:r>
          </w:p>
        </w:tc>
        <w:tc>
          <w:tcPr>
            <w:tcW w:type="dxa" w:w="47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Mode discret (masquage montants)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history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Array&lt;{date, val}&gt;</w:t>
            </w:r>
          </w:p>
        </w:tc>
        <w:tc>
          <w:tcPr>
            <w:tcW w:type="dxa" w:w="47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Historique patrimoine (max 400 entrées)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bvcStatus</w:t>
            </w:r>
          </w:p>
        </w:tc>
        <w:tc>
          <w:tcPr>
            <w:tcW w:type="dxa" w:w="24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'loading'|'ok'|'error'</w:t>
            </w:r>
          </w:p>
        </w:tc>
        <w:tc>
          <w:tcPr>
            <w:tcW w:type="dxa" w:w="47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Statut sync données BVC</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isOffline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boolean</w:t>
            </w:r>
          </w:p>
        </w:tc>
        <w:tc>
          <w:tcPr>
            <w:tcW w:type="dxa" w:w="47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Détection mode hors ligne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objectif</w:t>
            </w:r>
          </w:p>
        </w:tc>
        <w:tc>
          <w:tcPr>
            <w:tcW w:type="dxa" w:w="24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number | null</w:t>
            </w:r>
          </w:p>
        </w:tc>
        <w:tc>
          <w:tcPr>
            <w:tcW w:type="dxa" w:w="47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Objectif patrimoine utilisateur</w:t>
            </w:r>
          </w:p>
        </w:tc>
      </w:tr>
    </w:tbl>
    <w:p>
      <w:pPr>
        <w:spacing w:after="0" w:before="60"/>
      </w:pPr>
      <w:r>
        <w:t xml:space="preserve"/>
      </w:r>
    </w:p>
    <w:p>
      <w:pPr>
        <w:pBdr>
          <w:left w:val="thick" w:color="1A237E" w:sz="12" w:space="8"/>
        </w:pBdr>
        <w:shd w:fill="FFFDE7" w:val="clear"/>
        <w:spacing w:after="80" w:before="80"/>
        <w:ind w:left="360" w:right="360"/>
      </w:pPr>
      <w:r>
        <w:rPr>
          <w:rFonts w:ascii="Arial" w:cs="Arial" w:eastAsia="Arial" w:hAnsi="Arial"/>
          <w:color w:val="1A237E"/>
          <w:sz w:val="21"/>
          <w:szCs w:val="21"/>
        </w:rPr>
        <w:t xml:space="preserve">Pattern d'accès : usePatrimoineStore(s =&gt; s.field) — le sélecteur garantit qu'un composant ne re-rend que si son slice précis change, évitant les renders inutiles.</w:t>
      </w:r>
    </w:p>
    <w:p>
      <w:pPr>
        <w:pStyle w:val="Heading2"/>
        <w:spacing w:after="140" w:before="280"/>
      </w:pPr>
      <w:r>
        <w:rPr>
          <w:rFonts w:ascii="Arial" w:cs="Arial" w:eastAsia="Arial" w:hAnsi="Arial"/>
          <w:b/>
          <w:bCs/>
          <w:color w:val="1A237E"/>
          <w:sz w:val="26"/>
          <w:szCs w:val="26"/>
        </w:rPr>
        <w:t xml:space="preserve">4.3 Composants partagés (shared.jsx)</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B5E35" w:val="clear"/>
            <w:tcMar>
              <w:top w:type="dxa" w:w="80"/>
              <w:left w:type="dxa" w:w="160"/>
              <w:bottom w:type="dxa" w:w="80"/>
              <w:right w:type="dxa" w:w="160"/>
            </w:tcMar>
          </w:tcPr>
          <w:p>
            <w:r>
              <w:rPr>
                <w:rFonts w:ascii="Arial" w:cs="Arial" w:eastAsia="Arial" w:hAnsi="Arial"/>
                <w:b/>
                <w:bCs/>
                <w:color w:val="FFFFFF"/>
                <w:sz w:val="20"/>
                <w:szCs w:val="20"/>
              </w:rPr>
              <w:t xml:space="preserve">Composant</w:t>
            </w:r>
          </w:p>
        </w:tc>
        <w:tc>
          <w:tcPr>
            <w:tcW w:type="dxa" w:w="6760"/>
            <w:tcBorders>
              <w:top w:val="single" w:color="CCCCCC" w:sz="1"/>
              <w:left w:val="single" w:color="CCCCCC" w:sz="1"/>
              <w:bottom w:val="single" w:color="CCCCCC" w:sz="1"/>
              <w:right w:val="single" w:color="CCCCCC" w:sz="1"/>
            </w:tcBorders>
            <w:shd w:fill="1B5E35" w:val="clear"/>
            <w:tcMar>
              <w:top w:type="dxa" w:w="80"/>
              <w:left w:type="dxa" w:w="160"/>
              <w:bottom w:type="dxa" w:w="80"/>
              <w:right w:type="dxa" w:w="16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Card</w:t>
            </w:r>
          </w:p>
        </w:tc>
        <w:tc>
          <w:tcPr>
            <w:tcW w:type="dxa" w:w="67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Conteneur avec ombre, supporte onPress → TouchableOpacity</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NavBar</w:t>
            </w:r>
          </w:p>
        </w:tc>
        <w:tc>
          <w:tcPr>
            <w:tcW w:type="dxa" w:w="67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Barre de navigation 6 onglets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TopBar</w:t>
            </w:r>
          </w:p>
        </w:tc>
        <w:tc>
          <w:tcPr>
            <w:tcW w:type="dxa" w:w="67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En-tête page avec titre, sous-titre et bouton retour</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DonutSimple</w:t>
            </w:r>
          </w:p>
        </w:tc>
        <w:tc>
          <w:tcPr>
            <w:tcW w:type="dxa" w:w="67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Barre de répartition avec légende (8 catégories)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SparklineInteractive</w:t>
            </w:r>
          </w:p>
        </w:tc>
        <w:tc>
          <w:tcPr>
            <w:tcW w:type="dxa" w:w="67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Graphique barres avec sélection tactile</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Sparkline</w:t>
            </w:r>
          </w:p>
        </w:tc>
        <w:tc>
          <w:tcPr>
            <w:tcW w:type="dxa" w:w="67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Graphique barres simple (lecture seule)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BarH</w:t>
            </w:r>
          </w:p>
        </w:tc>
        <w:tc>
          <w:tcPr>
            <w:tcW w:type="dxa" w:w="67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Barre de progression horizontale</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Toggle</w:t>
            </w:r>
          </w:p>
        </w:tc>
        <w:tc>
          <w:tcPr>
            <w:tcW w:type="dxa" w:w="67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Interrupteur on/off animé</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PLBadge</w:t>
            </w:r>
          </w:p>
        </w:tc>
        <w:tc>
          <w:tcPr>
            <w:tcW w:type="dxa" w:w="67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Badge P&amp;L avec couleur +/- et flèche</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Input / SelectInput / PickerModal</w:t>
            </w:r>
          </w:p>
        </w:tc>
        <w:tc>
          <w:tcPr>
            <w:tcW w:type="dxa" w:w="67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Composants de formulaire</w:t>
            </w:r>
          </w:p>
        </w:tc>
      </w:tr>
    </w:tbl>
    <w:p>
      <w:pPr>
        <w:pStyle w:val="Heading1"/>
        <w:pageBreakBefore/>
        <w:pBdr>
          <w:bottom w:val="single" w:color="1B5E35" w:sz="8" w:space="4"/>
        </w:pBdr>
        <w:spacing w:after="200" w:before="360"/>
      </w:pPr>
      <w:r>
        <w:rPr>
          <w:rFonts w:ascii="Arial" w:cs="Arial" w:eastAsia="Arial" w:hAnsi="Arial"/>
          <w:b/>
          <w:bCs/>
          <w:color w:val="1B5E35"/>
          <w:sz w:val="32"/>
          <w:szCs w:val="32"/>
        </w:rPr>
        <w:t xml:space="preserve">5. Architecture des Données</w:t>
      </w:r>
    </w:p>
    <w:p>
      <w:pPr>
        <w:pStyle w:val="Heading2"/>
        <w:spacing w:after="140" w:before="280"/>
      </w:pPr>
      <w:r>
        <w:rPr>
          <w:rFonts w:ascii="Arial" w:cs="Arial" w:eastAsia="Arial" w:hAnsi="Arial"/>
          <w:b/>
          <w:bCs/>
          <w:color w:val="1A237E"/>
          <w:sz w:val="26"/>
          <w:szCs w:val="26"/>
        </w:rPr>
        <w:t xml:space="preserve">5.1 Modèle de données patrimoine</w:t>
      </w:r>
    </w:p>
    <w:p>
      <w:pPr>
        <w:spacing w:after="80" w:before="60"/>
      </w:pPr>
      <w:r>
        <w:rPr>
          <w:rFonts w:ascii="Arial" w:cs="Arial" w:eastAsia="Arial" w:hAnsi="Arial"/>
          <w:sz w:val="22"/>
          <w:szCs w:val="22"/>
        </w:rPr>
        <w:t xml:space="preserve">Toutes les données patrimoine sont stockées dans un unique objet JSONB (schemaVersion 1). Ce choix permet une flexibilité maximale pour l'ajout de catégories sans migration lourde.</w:t>
      </w:r>
    </w:p>
    <w:p>
      <w:pPr>
        <w:spacing w:after="0" w:before="6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6000"/>
      </w:tblGrid>
      <w:tr>
        <w:trPr>
          <w:tblHeader/>
        </w:trPr>
        <w:tc>
          <w:tcPr>
            <w:tcW w:type="dxa" w:w="2000"/>
            <w:tcBorders>
              <w:top w:val="single" w:color="CCCCCC" w:sz="1"/>
              <w:left w:val="single" w:color="CCCCCC" w:sz="1"/>
              <w:bottom w:val="single" w:color="CCCCCC" w:sz="1"/>
              <w:right w:val="single" w:color="CCCCCC" w:sz="1"/>
            </w:tcBorders>
            <w:shd w:fill="1B5E35" w:val="clear"/>
            <w:tcMar>
              <w:top w:type="dxa" w:w="80"/>
              <w:left w:type="dxa" w:w="160"/>
              <w:bottom w:type="dxa" w:w="80"/>
              <w:right w:type="dxa" w:w="160"/>
            </w:tcMar>
          </w:tcPr>
          <w:p>
            <w:r>
              <w:rPr>
                <w:rFonts w:ascii="Arial" w:cs="Arial" w:eastAsia="Arial" w:hAnsi="Arial"/>
                <w:b/>
                <w:bCs/>
                <w:color w:val="FFFFFF"/>
                <w:sz w:val="20"/>
                <w:szCs w:val="20"/>
              </w:rPr>
              <w:t xml:space="preserve">Clé JSON</w:t>
            </w:r>
          </w:p>
        </w:tc>
        <w:tc>
          <w:tcPr>
            <w:tcW w:type="dxa" w:w="1400"/>
            <w:tcBorders>
              <w:top w:val="single" w:color="CCCCCC" w:sz="1"/>
              <w:left w:val="single" w:color="CCCCCC" w:sz="1"/>
              <w:bottom w:val="single" w:color="CCCCCC" w:sz="1"/>
              <w:right w:val="single" w:color="CCCCCC" w:sz="1"/>
            </w:tcBorders>
            <w:shd w:fill="1B5E35" w:val="clear"/>
            <w:tcMar>
              <w:top w:type="dxa" w:w="80"/>
              <w:left w:type="dxa" w:w="160"/>
              <w:bottom w:type="dxa" w:w="80"/>
              <w:right w:type="dxa" w:w="160"/>
            </w:tcMar>
          </w:tcPr>
          <w:p>
            <w:r>
              <w:rPr>
                <w:rFonts w:ascii="Arial" w:cs="Arial" w:eastAsia="Arial" w:hAnsi="Arial"/>
                <w:b/>
                <w:bCs/>
                <w:color w:val="FFFFFF"/>
                <w:sz w:val="20"/>
                <w:szCs w:val="20"/>
              </w:rPr>
              <w:t xml:space="preserve">Type</w:t>
            </w:r>
          </w:p>
        </w:tc>
        <w:tc>
          <w:tcPr>
            <w:tcW w:type="dxa" w:w="6000"/>
            <w:tcBorders>
              <w:top w:val="single" w:color="CCCCCC" w:sz="1"/>
              <w:left w:val="single" w:color="CCCCCC" w:sz="1"/>
              <w:bottom w:val="single" w:color="CCCCCC" w:sz="1"/>
              <w:right w:val="single" w:color="CCCCCC" w:sz="1"/>
            </w:tcBorders>
            <w:shd w:fill="1B5E35" w:val="clear"/>
            <w:tcMar>
              <w:top w:type="dxa" w:w="80"/>
              <w:left w:type="dxa" w:w="160"/>
              <w:bottom w:type="dxa" w:w="80"/>
              <w:right w:type="dxa" w:w="160"/>
            </w:tcMar>
          </w:tcPr>
          <w:p>
            <w:r>
              <w:rPr>
                <w:rFonts w:ascii="Arial" w:cs="Arial" w:eastAsia="Arial" w:hAnsi="Arial"/>
                <w:b/>
                <w:bCs/>
                <w:color w:val="FFFFFF"/>
                <w:sz w:val="20"/>
                <w:szCs w:val="20"/>
              </w:rPr>
              <w:t xml:space="preserve">Contenu</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liquidites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Object</w:t>
            </w:r>
          </w:p>
        </w:tc>
        <w:tc>
          <w:tcPr>
            <w:tcW w:type="dxa" w:w="60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 dh: number, devises: [{code, nom, quantite, taux, variation}] }</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banque</w:t>
            </w:r>
          </w:p>
        </w:tc>
        <w:tc>
          <w:tcPr>
            <w:tcW w:type="dxa" w:w="14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Array</w:t>
            </w:r>
          </w:p>
        </w:tc>
        <w:tc>
          <w:tcPr>
            <w:tcW w:type="dxa" w:w="60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[{banque, solde, compte}]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carnet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Array</w:t>
            </w:r>
          </w:p>
        </w:tc>
        <w:tc>
          <w:tcPr>
            <w:tcW w:type="dxa" w:w="60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[{banque, solde, taux, rappel}]</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pea</w:t>
            </w:r>
          </w:p>
        </w:tc>
        <w:tc>
          <w:tcPr>
            <w:tcW w:type="dxa" w:w="14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Array</w:t>
            </w:r>
          </w:p>
        </w:tc>
        <w:tc>
          <w:tcPr>
            <w:tcW w:type="dxa" w:w="60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[{ticker, nom, pru, cours, qty}]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ct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Object</w:t>
            </w:r>
          </w:p>
        </w:tc>
        <w:tc>
          <w:tcPr>
            <w:tcW w:type="dxa" w:w="60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 actions: [...], opcvm: [{code, nom, vl, parts, type}] }</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immobilier</w:t>
            </w:r>
          </w:p>
        </w:tc>
        <w:tc>
          <w:tcPr>
            <w:tcW w:type="dxa" w:w="14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Array</w:t>
            </w:r>
          </w:p>
        </w:tc>
        <w:tc>
          <w:tcPr>
            <w:tcW w:type="dxa" w:w="60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[{id, nom, type, surface, prixAchat, meth, prixM2|prixOffert}]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transport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Array</w:t>
            </w:r>
          </w:p>
        </w:tc>
        <w:tc>
          <w:tcPr>
            <w:tcW w:type="dxa" w:w="60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[{id, nom, type, annee, prixAchat, valEstim, meth}]</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or</w:t>
            </w:r>
          </w:p>
        </w:tc>
        <w:tc>
          <w:tcPr>
            <w:tcW w:type="dxa" w:w="14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Array</w:t>
            </w:r>
          </w:p>
        </w:tc>
        <w:tc>
          <w:tcPr>
            <w:tcW w:type="dxa" w:w="60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[{id, nom, quantite, unite, prixAchat, prixOffert}]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prixOr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number</w:t>
            </w:r>
          </w:p>
        </w:tc>
        <w:tc>
          <w:tcPr>
            <w:tcW w:type="dxa" w:w="60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Prix or en DH/gramme (mis à jour temps réel)</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schemaVersion</w:t>
            </w:r>
          </w:p>
        </w:tc>
        <w:tc>
          <w:tcPr>
            <w:tcW w:type="dxa" w:w="14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number</w:t>
            </w:r>
          </w:p>
        </w:tc>
        <w:tc>
          <w:tcPr>
            <w:tcW w:type="dxa" w:w="60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Version du schéma (migrations automatiques)</w:t>
            </w:r>
          </w:p>
        </w:tc>
      </w:tr>
    </w:tbl>
    <w:p>
      <w:pPr>
        <w:pStyle w:val="Heading2"/>
        <w:spacing w:after="140" w:before="280"/>
      </w:pPr>
      <w:r>
        <w:rPr>
          <w:rFonts w:ascii="Arial" w:cs="Arial" w:eastAsia="Arial" w:hAnsi="Arial"/>
          <w:b/>
          <w:bCs/>
          <w:color w:val="1A237E"/>
          <w:sz w:val="26"/>
          <w:szCs w:val="26"/>
        </w:rPr>
        <w:t xml:space="preserve">5.2 Schéma de base de données Supabase</w:t>
      </w:r>
    </w:p>
    <w:p>
      <w:pPr>
        <w:spacing w:after="0" w:before="60"/>
      </w:pPr>
      <w:r>
        <w:t xml:space="preserve"/>
      </w:r>
    </w:p>
    <w:p>
      <w:pPr>
        <w:spacing w:after="60" w:before="120"/>
        <w:jc w:val="center"/>
      </w:pPr>
      <w:r>
        <w:drawing>
          <wp:inline distT="0" distB="0" distL="0" distR="0">
            <wp:extent cx="5905500" cy="2857500"/>
            <wp:effectExtent t="0" r="0" b="0" l="0"/>
            <wp:docPr id="1" name="schema_bdd.png" descr="schema_bdd.png" title="schema_bd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857500"/>
                    </a:xfrm>
                    <a:prstGeom prst="rect">
                      <a:avLst/>
                    </a:prstGeom>
                  </pic:spPr>
                </pic:pic>
              </a:graphicData>
            </a:graphic>
          </wp:inline>
        </w:drawing>
      </w:r>
    </w:p>
    <w:p>
      <w:pPr>
        <w:spacing w:after="160" w:before="60"/>
        <w:jc w:val="center"/>
      </w:pPr>
      <w:r>
        <w:rPr>
          <w:rFonts w:ascii="Arial" w:cs="Arial" w:eastAsia="Arial" w:hAnsi="Arial"/>
          <w:i/>
          <w:iCs/>
          <w:color w:val="607D8B"/>
          <w:sz w:val="18"/>
          <w:szCs w:val="18"/>
        </w:rPr>
        <w:t xml:space="preserve">Figure 3 — Schéma relationnel Supabase (PostgreSQL)</w:t>
      </w:r>
    </w:p>
    <w:p>
      <w:pPr>
        <w:spacing w:after="0" w:before="60"/>
      </w:pPr>
      <w:r>
        <w:t xml:space="preserve"/>
      </w:r>
    </w:p>
    <w:p>
      <w:pPr>
        <w:pStyle w:val="Heading3"/>
        <w:spacing w:after="100" w:before="200"/>
      </w:pPr>
      <w:r>
        <w:rPr>
          <w:rFonts w:ascii="Arial" w:cs="Arial" w:eastAsia="Arial" w:hAnsi="Arial"/>
          <w:b/>
          <w:bCs/>
          <w:color w:val="00695C"/>
          <w:sz w:val="22"/>
          <w:szCs w:val="22"/>
        </w:rPr>
        <w:t xml:space="preserve">Table : profiles</w:t>
      </w:r>
    </w:p>
    <w:p>
      <w:pPr>
        <w:spacing w:after="80" w:before="60"/>
      </w:pPr>
      <w:r>
        <w:rPr>
          <w:rFonts w:ascii="Arial" w:cs="Arial" w:eastAsia="Arial" w:hAnsi="Arial"/>
          <w:sz w:val="22"/>
          <w:szCs w:val="22"/>
        </w:rPr>
        <w:t xml:space="preserve">Étend auth.users avec les informations métier. Créée automatiquement via un trigger PostgreSQL à chaque inscription.</w:t>
      </w:r>
    </w:p>
    <w:p>
      <w:pPr>
        <w:pStyle w:val="ListParagraph"/>
        <w:numPr>
          <w:ilvl w:val="0"/>
          <w:numId w:val="2"/>
        </w:numPr>
        <w:spacing w:after="40" w:before="40"/>
      </w:pPr>
      <w:r>
        <w:rPr>
          <w:rFonts w:ascii="Arial" w:cs="Arial" w:eastAsia="Arial" w:hAnsi="Arial"/>
          <w:sz w:val="22"/>
          <w:szCs w:val="22"/>
        </w:rPr>
        <w:t xml:space="preserve">plan (TEXT) : 'free' | 'plus' — détermine l'accès aux fonctionnalités premium</w:t>
      </w:r>
    </w:p>
    <w:p>
      <w:pPr>
        <w:pStyle w:val="ListParagraph"/>
        <w:numPr>
          <w:ilvl w:val="0"/>
          <w:numId w:val="2"/>
        </w:numPr>
        <w:spacing w:after="40" w:before="40"/>
      </w:pPr>
      <w:r>
        <w:rPr>
          <w:rFonts w:ascii="Arial" w:cs="Arial" w:eastAsia="Arial" w:hAnsi="Arial"/>
          <w:sz w:val="22"/>
          <w:szCs w:val="22"/>
        </w:rPr>
        <w:t xml:space="preserve">RLS activé : chaque utilisateur ne peut lire et modifier que son propre profil</w:t>
      </w:r>
    </w:p>
    <w:p>
      <w:pPr>
        <w:pStyle w:val="Heading3"/>
        <w:spacing w:after="100" w:before="200"/>
      </w:pPr>
      <w:r>
        <w:rPr>
          <w:rFonts w:ascii="Arial" w:cs="Arial" w:eastAsia="Arial" w:hAnsi="Arial"/>
          <w:b/>
          <w:bCs/>
          <w:color w:val="00695C"/>
          <w:sz w:val="22"/>
          <w:szCs w:val="22"/>
        </w:rPr>
        <w:t xml:space="preserve">Table : patrimoine_data</w:t>
      </w:r>
    </w:p>
    <w:p>
      <w:pPr>
        <w:spacing w:after="80" w:before="60"/>
      </w:pPr>
      <w:r>
        <w:rPr>
          <w:rFonts w:ascii="Arial" w:cs="Arial" w:eastAsia="Arial" w:hAnsi="Arial"/>
          <w:sz w:val="22"/>
          <w:szCs w:val="22"/>
        </w:rPr>
        <w:t xml:space="preserve">Une seule ligne par utilisateur — tout le patrimoine est stocké dans un champ JSONB. La clé user_id est UNIQUE (contrainte d'intégrité).</w:t>
      </w:r>
    </w:p>
    <w:p>
      <w:pPr>
        <w:pStyle w:val="ListParagraph"/>
        <w:numPr>
          <w:ilvl w:val="0"/>
          <w:numId w:val="2"/>
        </w:numPr>
        <w:spacing w:after="40" w:before="40"/>
      </w:pPr>
      <w:r>
        <w:rPr>
          <w:rFonts w:ascii="Arial" w:cs="Arial" w:eastAsia="Arial" w:hAnsi="Arial"/>
          <w:sz w:val="22"/>
          <w:szCs w:val="22"/>
        </w:rPr>
        <w:t xml:space="preserve">Upsert sur user_id : INSERT ... ON CONFLICT (user_id) DO UPDATE</w:t>
      </w:r>
    </w:p>
    <w:p>
      <w:pPr>
        <w:pStyle w:val="ListParagraph"/>
        <w:numPr>
          <w:ilvl w:val="0"/>
          <w:numId w:val="2"/>
        </w:numPr>
        <w:spacing w:after="40" w:before="40"/>
      </w:pPr>
      <w:r>
        <w:rPr>
          <w:rFonts w:ascii="Arial" w:cs="Arial" w:eastAsia="Arial" w:hAnsi="Arial"/>
          <w:sz w:val="22"/>
          <w:szCs w:val="22"/>
        </w:rPr>
        <w:t xml:space="preserve">Index B-tree sur user_id pour les lookups rapides</w:t>
      </w:r>
    </w:p>
    <w:p>
      <w:pPr>
        <w:pStyle w:val="ListParagraph"/>
        <w:numPr>
          <w:ilvl w:val="0"/>
          <w:numId w:val="2"/>
        </w:numPr>
        <w:spacing w:after="40" w:before="40"/>
      </w:pPr>
      <w:r>
        <w:rPr>
          <w:rFonts w:ascii="Arial" w:cs="Arial" w:eastAsia="Arial" w:hAnsi="Arial"/>
          <w:sz w:val="22"/>
          <w:szCs w:val="22"/>
        </w:rPr>
        <w:t xml:space="preserve">RLS : 4 policies (SELECT, INSERT, UPDATE, DELETE) — isolation totale par utilisateur</w:t>
      </w:r>
    </w:p>
    <w:p>
      <w:pPr>
        <w:pStyle w:val="Heading3"/>
        <w:spacing w:after="100" w:before="200"/>
      </w:pPr>
      <w:r>
        <w:rPr>
          <w:rFonts w:ascii="Arial" w:cs="Arial" w:eastAsia="Arial" w:hAnsi="Arial"/>
          <w:b/>
          <w:bCs/>
          <w:color w:val="00695C"/>
          <w:sz w:val="22"/>
          <w:szCs w:val="22"/>
        </w:rPr>
        <w:t xml:space="preserve">Vue : stats_admin</w:t>
      </w:r>
    </w:p>
    <w:p>
      <w:pPr>
        <w:spacing w:after="80" w:before="60"/>
      </w:pPr>
      <w:r>
        <w:rPr>
          <w:rFonts w:ascii="Arial" w:cs="Arial" w:eastAsia="Arial" w:hAnsi="Arial"/>
          <w:sz w:val="22"/>
          <w:szCs w:val="22"/>
        </w:rPr>
        <w:t xml:space="preserve">Vue agrégée sans données personnelles pour le suivi des métriques : total_users, users_plus, users_free, taux_conversion_pct.</w:t>
      </w:r>
    </w:p>
    <w:p>
      <w:pPr>
        <w:pStyle w:val="Heading2"/>
        <w:spacing w:after="140" w:before="280"/>
      </w:pPr>
      <w:r>
        <w:rPr>
          <w:rFonts w:ascii="Arial" w:cs="Arial" w:eastAsia="Arial" w:hAnsi="Arial"/>
          <w:b/>
          <w:bCs/>
          <w:color w:val="1A237E"/>
          <w:sz w:val="26"/>
          <w:szCs w:val="26"/>
        </w:rPr>
        <w:t xml:space="preserve">5.3 Stratégie de versioning (migrations.js)</w:t>
      </w:r>
    </w:p>
    <w:p>
      <w:pPr>
        <w:spacing w:after="80" w:before="60"/>
      </w:pPr>
      <w:r>
        <w:rPr>
          <w:rFonts w:ascii="Arial" w:cs="Arial" w:eastAsia="Arial" w:hAnsi="Arial"/>
          <w:sz w:val="22"/>
          <w:szCs w:val="22"/>
        </w:rPr>
        <w:t xml:space="preserve">Un système de migrations automatiques garantit la compatibilité ascendante des données. À chaque chargement, la version actuelle du schéma est comparée à CURRENT_SCHEMA_VERSION et les migrations manquantes sont appliquées séquentiellement.</w:t>
      </w:r>
    </w:p>
    <w:p>
      <w:pPr>
        <w:pBdr>
          <w:left w:val="thick" w:color="00695C" w:sz="12" w:space="8"/>
        </w:pBdr>
        <w:shd w:fill="E0F2F1" w:val="clear"/>
        <w:spacing w:after="80" w:before="80"/>
        <w:ind w:left="360" w:right="360"/>
      </w:pPr>
      <w:r>
        <w:rPr>
          <w:rFonts w:ascii="Arial" w:cs="Arial" w:eastAsia="Arial" w:hAnsi="Arial"/>
          <w:color w:val="00695C"/>
          <w:sz w:val="21"/>
          <w:szCs w:val="21"/>
        </w:rPr>
        <w:t xml:space="preserve">Schéma actuel : version 1. Chaque migration est une fonction pure (data) =&gt; data' sans effets de bord.</w:t>
      </w:r>
    </w:p>
    <w:p>
      <w:pPr>
        <w:pStyle w:val="Heading2"/>
        <w:spacing w:after="140" w:before="280"/>
      </w:pPr>
      <w:r>
        <w:rPr>
          <w:rFonts w:ascii="Arial" w:cs="Arial" w:eastAsia="Arial" w:hAnsi="Arial"/>
          <w:b/>
          <w:bCs/>
          <w:color w:val="1A237E"/>
          <w:sz w:val="26"/>
          <w:szCs w:val="26"/>
        </w:rPr>
        <w:t xml:space="preserve">5.4 Stratégie de persistance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rPr>
          <w:tblHeader/>
        </w:trPr>
        <w:tc>
          <w:tcPr>
            <w:tcW w:type="dxa" w:w="2200"/>
            <w:tcBorders>
              <w:top w:val="single" w:color="CCCCCC" w:sz="1"/>
              <w:left w:val="single" w:color="CCCCCC" w:sz="1"/>
              <w:bottom w:val="single" w:color="CCCCCC" w:sz="1"/>
              <w:right w:val="single" w:color="CCCCCC" w:sz="1"/>
            </w:tcBorders>
            <w:shd w:fill="1B5E35" w:val="clear"/>
            <w:tcMar>
              <w:top w:type="dxa" w:w="80"/>
              <w:left w:type="dxa" w:w="160"/>
              <w:bottom w:type="dxa" w:w="80"/>
              <w:right w:type="dxa" w:w="160"/>
            </w:tcMar>
          </w:tcPr>
          <w:p>
            <w:r>
              <w:rPr>
                <w:rFonts w:ascii="Arial" w:cs="Arial" w:eastAsia="Arial" w:hAnsi="Arial"/>
                <w:b/>
                <w:bCs/>
                <w:color w:val="FFFFFF"/>
                <w:sz w:val="20"/>
                <w:szCs w:val="20"/>
              </w:rPr>
              <w:t xml:space="preserve">Donnée</w:t>
            </w:r>
          </w:p>
        </w:tc>
        <w:tc>
          <w:tcPr>
            <w:tcW w:type="dxa" w:w="2200"/>
            <w:tcBorders>
              <w:top w:val="single" w:color="CCCCCC" w:sz="1"/>
              <w:left w:val="single" w:color="CCCCCC" w:sz="1"/>
              <w:bottom w:val="single" w:color="CCCCCC" w:sz="1"/>
              <w:right w:val="single" w:color="CCCCCC" w:sz="1"/>
            </w:tcBorders>
            <w:shd w:fill="1B5E35" w:val="clear"/>
            <w:tcMar>
              <w:top w:type="dxa" w:w="80"/>
              <w:left w:type="dxa" w:w="160"/>
              <w:bottom w:type="dxa" w:w="80"/>
              <w:right w:type="dxa" w:w="160"/>
            </w:tcMar>
          </w:tcPr>
          <w:p>
            <w:r>
              <w:rPr>
                <w:rFonts w:ascii="Arial" w:cs="Arial" w:eastAsia="Arial" w:hAnsi="Arial"/>
                <w:b/>
                <w:bCs/>
                <w:color w:val="FFFFFF"/>
                <w:sz w:val="20"/>
                <w:szCs w:val="20"/>
              </w:rPr>
              <w:t xml:space="preserve">Stockage primaire</w:t>
            </w:r>
          </w:p>
        </w:tc>
        <w:tc>
          <w:tcPr>
            <w:tcW w:type="dxa" w:w="2200"/>
            <w:tcBorders>
              <w:top w:val="single" w:color="CCCCCC" w:sz="1"/>
              <w:left w:val="single" w:color="CCCCCC" w:sz="1"/>
              <w:bottom w:val="single" w:color="CCCCCC" w:sz="1"/>
              <w:right w:val="single" w:color="CCCCCC" w:sz="1"/>
            </w:tcBorders>
            <w:shd w:fill="1B5E35" w:val="clear"/>
            <w:tcMar>
              <w:top w:type="dxa" w:w="80"/>
              <w:left w:type="dxa" w:w="160"/>
              <w:bottom w:type="dxa" w:w="80"/>
              <w:right w:type="dxa" w:w="160"/>
            </w:tcMar>
          </w:tcPr>
          <w:p>
            <w:r>
              <w:rPr>
                <w:rFonts w:ascii="Arial" w:cs="Arial" w:eastAsia="Arial" w:hAnsi="Arial"/>
                <w:b/>
                <w:bCs/>
                <w:color w:val="FFFFFF"/>
                <w:sz w:val="20"/>
                <w:szCs w:val="20"/>
              </w:rPr>
              <w:t xml:space="preserve">Fallback</w:t>
            </w:r>
          </w:p>
        </w:tc>
        <w:tc>
          <w:tcPr>
            <w:tcW w:type="dxa" w:w="2760"/>
            <w:tcBorders>
              <w:top w:val="single" w:color="CCCCCC" w:sz="1"/>
              <w:left w:val="single" w:color="CCCCCC" w:sz="1"/>
              <w:bottom w:val="single" w:color="CCCCCC" w:sz="1"/>
              <w:right w:val="single" w:color="CCCCCC" w:sz="1"/>
            </w:tcBorders>
            <w:shd w:fill="1B5E35" w:val="clear"/>
            <w:tcMar>
              <w:top w:type="dxa" w:w="80"/>
              <w:left w:type="dxa" w:w="160"/>
              <w:bottom w:type="dxa" w:w="80"/>
              <w:right w:type="dxa" w:w="160"/>
            </w:tcMar>
          </w:tcPr>
          <w:p>
            <w:r>
              <w:rPr>
                <w:rFonts w:ascii="Arial" w:cs="Arial" w:eastAsia="Arial" w:hAnsi="Arial"/>
                <w:b/>
                <w:bCs/>
                <w:color w:val="FFFFFF"/>
                <w:sz w:val="20"/>
                <w:szCs w:val="20"/>
              </w:rPr>
              <w:t xml:space="preserve">TTL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Données patrimoine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Supabase (cloud)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AsyncStorage (local)</w:t>
            </w:r>
          </w:p>
        </w:tc>
        <w:tc>
          <w:tcPr>
            <w:tcW w:type="dxa" w:w="27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Pas d'expiration</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Session JWT</w:t>
            </w:r>
          </w:p>
        </w:tc>
        <w:tc>
          <w:tcPr>
            <w:tcW w:type="dxa" w:w="22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AsyncStorage</w:t>
            </w:r>
          </w:p>
        </w:tc>
        <w:tc>
          <w:tcPr>
            <w:tcW w:type="dxa" w:w="22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Mémoire</w:t>
            </w:r>
          </w:p>
        </w:tc>
        <w:tc>
          <w:tcPr>
            <w:tcW w:type="dxa" w:w="27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Token Supabase (~1h, auto-refresh)</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Cache BVC</w:t>
            </w:r>
          </w:p>
        </w:tc>
        <w:tc>
          <w:tcPr>
            <w:tcW w:type="dxa" w:w="2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Mémoire (_bvcCache)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AsyncStorage</w:t>
            </w:r>
          </w:p>
        </w:tc>
        <w:tc>
          <w:tcPr>
            <w:tcW w:type="dxa" w:w="27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30 min (in-memory), 24h (persisté)</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Cache Or</w:t>
            </w:r>
          </w:p>
        </w:tc>
        <w:tc>
          <w:tcPr>
            <w:tcW w:type="dxa" w:w="22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Edge Function (mémoire Deno)</w:t>
            </w:r>
          </w:p>
        </w:tc>
        <w:tc>
          <w:tcPr>
            <w:tcW w:type="dxa" w:w="22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Fetch direct</w:t>
            </w:r>
          </w:p>
        </w:tc>
        <w:tc>
          <w:tcPr>
            <w:tcW w:type="dxa" w:w="27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5 min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Cache Devises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Edge Function (mémoire Deno)</w:t>
            </w:r>
          </w:p>
        </w:tc>
        <w:tc>
          <w:tcPr>
            <w:tcW w:type="dxa" w:w="2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Fetch direct</w:t>
            </w:r>
          </w:p>
        </w:tc>
        <w:tc>
          <w:tcPr>
            <w:tcW w:type="dxa" w:w="27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15 min</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Historique</w:t>
            </w:r>
          </w:p>
        </w:tc>
        <w:tc>
          <w:tcPr>
            <w:tcW w:type="dxa" w:w="22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Supabase (dans data JSONB)</w:t>
            </w:r>
          </w:p>
        </w:tc>
        <w:tc>
          <w:tcPr>
            <w:tcW w:type="dxa" w:w="22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AsyncStorage</w:t>
            </w:r>
          </w:p>
        </w:tc>
        <w:tc>
          <w:tcPr>
            <w:tcW w:type="dxa" w:w="27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Max 400 snapshots</w:t>
            </w:r>
          </w:p>
        </w:tc>
      </w:tr>
    </w:tbl>
    <w:p>
      <w:pPr>
        <w:pStyle w:val="Heading1"/>
        <w:pageBreakBefore/>
        <w:pBdr>
          <w:bottom w:val="single" w:color="1B5E35" w:sz="8" w:space="4"/>
        </w:pBdr>
        <w:spacing w:after="200" w:before="360"/>
      </w:pPr>
      <w:r>
        <w:rPr>
          <w:rFonts w:ascii="Arial" w:cs="Arial" w:eastAsia="Arial" w:hAnsi="Arial"/>
          <w:b/>
          <w:bCs/>
          <w:color w:val="1B5E35"/>
          <w:sz w:val="32"/>
          <w:szCs w:val="32"/>
        </w:rPr>
        <w:t xml:space="preserve">6. Architecture Backend</w:t>
      </w:r>
    </w:p>
    <w:p>
      <w:pPr>
        <w:pStyle w:val="Heading2"/>
        <w:spacing w:after="140" w:before="280"/>
      </w:pPr>
      <w:r>
        <w:rPr>
          <w:rFonts w:ascii="Arial" w:cs="Arial" w:eastAsia="Arial" w:hAnsi="Arial"/>
          <w:b/>
          <w:bCs/>
          <w:color w:val="1A237E"/>
          <w:sz w:val="26"/>
          <w:szCs w:val="26"/>
        </w:rPr>
        <w:t xml:space="preserve">6.1 Supabase — Backend as a Service</w:t>
      </w:r>
    </w:p>
    <w:p>
      <w:pPr>
        <w:spacing w:after="80" w:before="60"/>
      </w:pPr>
      <w:r>
        <w:rPr>
          <w:rFonts w:ascii="Arial" w:cs="Arial" w:eastAsia="Arial" w:hAnsi="Arial"/>
          <w:sz w:val="22"/>
          <w:szCs w:val="22"/>
        </w:rPr>
        <w:t xml:space="preserve">Supabase héberge l'intégralité du backend de PatriMoi. Le projet est déployé en West EU (Irlande) pour la conformité RGPD.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B5E35" w:val="clear"/>
            <w:tcMar>
              <w:top w:type="dxa" w:w="80"/>
              <w:left w:type="dxa" w:w="160"/>
              <w:bottom w:type="dxa" w:w="80"/>
              <w:right w:type="dxa" w:w="160"/>
            </w:tcMar>
          </w:tcPr>
          <w:p>
            <w:r>
              <w:rPr>
                <w:rFonts w:ascii="Arial" w:cs="Arial" w:eastAsia="Arial" w:hAnsi="Arial"/>
                <w:b/>
                <w:bCs/>
                <w:color w:val="FFFFFF"/>
                <w:sz w:val="20"/>
                <w:szCs w:val="20"/>
              </w:rPr>
              <w:t xml:space="preserve">Service Supabase</w:t>
            </w:r>
          </w:p>
        </w:tc>
        <w:tc>
          <w:tcPr>
            <w:tcW w:type="dxa" w:w="5760"/>
            <w:tcBorders>
              <w:top w:val="single" w:color="CCCCCC" w:sz="1"/>
              <w:left w:val="single" w:color="CCCCCC" w:sz="1"/>
              <w:bottom w:val="single" w:color="CCCCCC" w:sz="1"/>
              <w:right w:val="single" w:color="CCCCCC" w:sz="1"/>
            </w:tcBorders>
            <w:shd w:fill="1B5E35" w:val="clear"/>
            <w:tcMar>
              <w:top w:type="dxa" w:w="80"/>
              <w:left w:type="dxa" w:w="160"/>
              <w:bottom w:type="dxa" w:w="80"/>
              <w:right w:type="dxa" w:w="160"/>
            </w:tcMar>
          </w:tcPr>
          <w:p>
            <w:r>
              <w:rPr>
                <w:rFonts w:ascii="Arial" w:cs="Arial" w:eastAsia="Arial" w:hAnsi="Arial"/>
                <w:b/>
                <w:bCs/>
                <w:color w:val="FFFFFF"/>
                <w:sz w:val="20"/>
                <w:szCs w:val="20"/>
              </w:rPr>
              <w:t xml:space="preserve">Usage PatriMoi</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Auth (GoTrue)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Inscription / connexion email+mdp, sessions JWT, reset mdp</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PostgreSQL 15</w:t>
            </w:r>
          </w:p>
        </w:tc>
        <w:tc>
          <w:tcPr>
            <w:tcW w:type="dxa" w:w="57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Tables profiles + patrimoine_data, triggers, vues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Row Level Security</w:t>
            </w:r>
          </w:p>
        </w:tc>
        <w:tc>
          <w:tcPr>
            <w:tcW w:type="dxa" w:w="57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Isolation totale par utilisateur (4 policies par table)</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Edge Functions (Deno)</w:t>
            </w:r>
          </w:p>
        </w:tc>
        <w:tc>
          <w:tcPr>
            <w:tcW w:type="dxa" w:w="57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Proxy APIs marché (or, devises, BVC) avec cache centralisé</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Realtime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Non utilisé en v1.6 (prévu pour alertes patrimoine en v2)</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Storage</w:t>
            </w:r>
          </w:p>
        </w:tc>
        <w:tc>
          <w:tcPr>
            <w:tcW w:type="dxa" w:w="57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Non utilisé en v1.6 (prévu pour documents en v2)</w:t>
            </w:r>
          </w:p>
        </w:tc>
      </w:tr>
    </w:tbl>
    <w:p>
      <w:pPr>
        <w:spacing w:after="0" w:before="60"/>
      </w:pPr>
      <w:r>
        <w:t xml:space="preserve"/>
      </w:r>
    </w:p>
    <w:p>
      <w:pPr>
        <w:pBdr>
          <w:left w:val="thick" w:color="1A237E" w:sz="12" w:space="8"/>
        </w:pBdr>
        <w:shd w:fill="E3F2FD" w:val="clear"/>
        <w:spacing w:after="80" w:before="80"/>
        <w:ind w:left="360" w:right="360"/>
      </w:pPr>
      <w:r>
        <w:rPr>
          <w:rFonts w:ascii="Arial" w:cs="Arial" w:eastAsia="Arial" w:hAnsi="Arial"/>
          <w:color w:val="1A237E"/>
          <w:sz w:val="21"/>
          <w:szCs w:val="21"/>
        </w:rPr>
        <w:t xml:space="preserve">Projet Supabase : fwgsdjhavrqrqwmydwxf — Region : West EU (Irlande) — Clé anon publique côté client, sécurité assurée par RLS côté serveur.</w:t>
      </w:r>
    </w:p>
    <w:p>
      <w:pPr>
        <w:pStyle w:val="Heading2"/>
        <w:spacing w:after="140" w:before="280"/>
      </w:pPr>
      <w:r>
        <w:rPr>
          <w:rFonts w:ascii="Arial" w:cs="Arial" w:eastAsia="Arial" w:hAnsi="Arial"/>
          <w:b/>
          <w:bCs/>
          <w:color w:val="1A237E"/>
          <w:sz w:val="26"/>
          <w:szCs w:val="26"/>
        </w:rPr>
        <w:t xml:space="preserve">6.2 Edge Function — market-data-proxy</w:t>
      </w:r>
    </w:p>
    <w:p>
      <w:pPr>
        <w:spacing w:after="80" w:before="60"/>
      </w:pPr>
      <w:r>
        <w:rPr>
          <w:rFonts w:ascii="Arial" w:cs="Arial" w:eastAsia="Arial" w:hAnsi="Arial"/>
          <w:sz w:val="22"/>
          <w:szCs w:val="22"/>
        </w:rPr>
        <w:t xml:space="preserve">L'Edge Function est le point d'entrée unique pour toutes les données de marché. Elle tourne sur Deno (TypeScript) et dispose de son propre cache mémoire par instance.</w:t>
      </w:r>
    </w:p>
    <w:p>
      <w:pPr>
        <w:spacing w:after="0" w:before="60"/>
      </w:pPr>
      <w:r>
        <w:t xml:space="preserve"/>
      </w:r>
    </w:p>
    <w:p>
      <w:pPr>
        <w:spacing w:after="60" w:before="120"/>
        <w:jc w:val="center"/>
      </w:pPr>
      <w:r>
        <w:drawing>
          <wp:inline distT="0" distB="0" distL="0" distR="0">
            <wp:extent cx="5905500" cy="2809875"/>
            <wp:effectExtent t="0" r="0" b="0" l="0"/>
            <wp:docPr id="1" name="schema_market_data.png" descr="schema_market_data.png" title="schema_market_da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809875"/>
                    </a:xfrm>
                    <a:prstGeom prst="rect">
                      <a:avLst/>
                    </a:prstGeom>
                  </pic:spPr>
                </pic:pic>
              </a:graphicData>
            </a:graphic>
          </wp:inline>
        </w:drawing>
      </w:r>
    </w:p>
    <w:p>
      <w:pPr>
        <w:spacing w:after="160" w:before="60"/>
        <w:jc w:val="center"/>
      </w:pPr>
      <w:r>
        <w:rPr>
          <w:rFonts w:ascii="Arial" w:cs="Arial" w:eastAsia="Arial" w:hAnsi="Arial"/>
          <w:i/>
          <w:iCs/>
          <w:color w:val="607D8B"/>
          <w:sz w:val="18"/>
          <w:szCs w:val="18"/>
        </w:rPr>
        <w:t xml:space="preserve">Figure 4 — Flux données marché avec cascade de sources pour l'or</w:t>
      </w:r>
    </w:p>
    <w:p>
      <w:pPr>
        <w:spacing w:after="0" w:before="60"/>
      </w:pPr>
      <w:r>
        <w:t xml:space="preserve"/>
      </w:r>
    </w:p>
    <w:p>
      <w:pPr>
        <w:pStyle w:val="Heading3"/>
        <w:spacing w:after="100" w:before="200"/>
      </w:pPr>
      <w:r>
        <w:rPr>
          <w:rFonts w:ascii="Arial" w:cs="Arial" w:eastAsia="Arial" w:hAnsi="Arial"/>
          <w:b/>
          <w:bCs/>
          <w:color w:val="00695C"/>
          <w:sz w:val="22"/>
          <w:szCs w:val="22"/>
        </w:rPr>
        <w:t xml:space="preserve">Routes disponibles</w:t>
      </w:r>
    </w:p>
    <w:p>
      <w:pPr>
        <w:spacing w:after="0" w:before="6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600"/>
        <w:gridCol w:w="2200"/>
      </w:tblGrid>
      <w:tr>
        <w:trPr>
          <w:tblHeader/>
        </w:trPr>
        <w:tc>
          <w:tcPr>
            <w:tcW w:type="dxa" w:w="2400"/>
            <w:tcBorders>
              <w:top w:val="single" w:color="CCCCCC" w:sz="1"/>
              <w:left w:val="single" w:color="CCCCCC" w:sz="1"/>
              <w:bottom w:val="single" w:color="CCCCCC" w:sz="1"/>
              <w:right w:val="single" w:color="CCCCCC" w:sz="1"/>
            </w:tcBorders>
            <w:shd w:fill="1B5E35" w:val="clear"/>
            <w:tcMar>
              <w:top w:type="dxa" w:w="80"/>
              <w:left w:type="dxa" w:w="160"/>
              <w:bottom w:type="dxa" w:w="80"/>
              <w:right w:type="dxa" w:w="160"/>
            </w:tcMar>
          </w:tcPr>
          <w:p>
            <w:r>
              <w:rPr>
                <w:rFonts w:ascii="Arial" w:cs="Arial" w:eastAsia="Arial" w:hAnsi="Arial"/>
                <w:b/>
                <w:bCs/>
                <w:color w:val="FFFFFF"/>
                <w:sz w:val="20"/>
                <w:szCs w:val="20"/>
              </w:rPr>
              <w:t xml:space="preserve">Route (param ?source=)</w:t>
            </w:r>
          </w:p>
        </w:tc>
        <w:tc>
          <w:tcPr>
            <w:tcW w:type="dxa" w:w="3200"/>
            <w:tcBorders>
              <w:top w:val="single" w:color="CCCCCC" w:sz="1"/>
              <w:left w:val="single" w:color="CCCCCC" w:sz="1"/>
              <w:bottom w:val="single" w:color="CCCCCC" w:sz="1"/>
              <w:right w:val="single" w:color="CCCCCC" w:sz="1"/>
            </w:tcBorders>
            <w:shd w:fill="1B5E35" w:val="clear"/>
            <w:tcMar>
              <w:top w:type="dxa" w:w="80"/>
              <w:left w:type="dxa" w:w="160"/>
              <w:bottom w:type="dxa" w:w="80"/>
              <w:right w:type="dxa" w:w="160"/>
            </w:tcMar>
          </w:tcPr>
          <w:p>
            <w:r>
              <w:rPr>
                <w:rFonts w:ascii="Arial" w:cs="Arial" w:eastAsia="Arial" w:hAnsi="Arial"/>
                <w:b/>
                <w:bCs/>
                <w:color w:val="FFFFFF"/>
                <w:sz w:val="20"/>
                <w:szCs w:val="20"/>
              </w:rPr>
              <w:t xml:space="preserve">Sources appelées</w:t>
            </w:r>
          </w:p>
        </w:tc>
        <w:tc>
          <w:tcPr>
            <w:tcW w:type="dxa" w:w="1600"/>
            <w:tcBorders>
              <w:top w:val="single" w:color="CCCCCC" w:sz="1"/>
              <w:left w:val="single" w:color="CCCCCC" w:sz="1"/>
              <w:bottom w:val="single" w:color="CCCCCC" w:sz="1"/>
              <w:right w:val="single" w:color="CCCCCC" w:sz="1"/>
            </w:tcBorders>
            <w:shd w:fill="1B5E35" w:val="clear"/>
            <w:tcMar>
              <w:top w:type="dxa" w:w="80"/>
              <w:left w:type="dxa" w:w="160"/>
              <w:bottom w:type="dxa" w:w="80"/>
              <w:right w:type="dxa" w:w="160"/>
            </w:tcMar>
          </w:tcPr>
          <w:p>
            <w:r>
              <w:rPr>
                <w:rFonts w:ascii="Arial" w:cs="Arial" w:eastAsia="Arial" w:hAnsi="Arial"/>
                <w:b/>
                <w:bCs/>
                <w:color w:val="FFFFFF"/>
                <w:sz w:val="20"/>
                <w:szCs w:val="20"/>
              </w:rPr>
              <w:t xml:space="preserve">Cache TTL</w:t>
            </w:r>
          </w:p>
        </w:tc>
        <w:tc>
          <w:tcPr>
            <w:tcW w:type="dxa" w:w="2200"/>
            <w:tcBorders>
              <w:top w:val="single" w:color="CCCCCC" w:sz="1"/>
              <w:left w:val="single" w:color="CCCCCC" w:sz="1"/>
              <w:bottom w:val="single" w:color="CCCCCC" w:sz="1"/>
              <w:right w:val="single" w:color="CCCCCC" w:sz="1"/>
            </w:tcBorders>
            <w:shd w:fill="1B5E35" w:val="clear"/>
            <w:tcMar>
              <w:top w:type="dxa" w:w="80"/>
              <w:left w:type="dxa" w:w="160"/>
              <w:bottom w:type="dxa" w:w="80"/>
              <w:right w:type="dxa" w:w="160"/>
            </w:tcMar>
          </w:tcPr>
          <w:p>
            <w:r>
              <w:rPr>
                <w:rFonts w:ascii="Arial" w:cs="Arial" w:eastAsia="Arial" w:hAnsi="Arial"/>
                <w:b/>
                <w:bCs/>
                <w:color w:val="FFFFFF"/>
                <w:sz w:val="20"/>
                <w:szCs w:val="20"/>
              </w:rPr>
              <w:t xml:space="preserve">Retour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or</w:t>
            </w:r>
          </w:p>
        </w:tc>
        <w:tc>
          <w:tcPr>
            <w:tcW w:type="dxa" w:w="3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metals.live → goldapi.io → gold-api.com</w:t>
            </w:r>
          </w:p>
        </w:tc>
        <w:tc>
          <w:tcPr>
            <w:tcW w:type="dxa" w:w="16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5 min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 prixOr: number } en DH/g</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devises</w:t>
            </w:r>
          </w:p>
        </w:tc>
        <w:tc>
          <w:tcPr>
            <w:tcW w:type="dxa" w:w="32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open.er-api.com/v6/latest/USD</w:t>
            </w:r>
          </w:p>
        </w:tc>
        <w:tc>
          <w:tcPr>
            <w:tcW w:type="dxa" w:w="16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15 min</w:t>
            </w:r>
          </w:p>
        </w:tc>
        <w:tc>
          <w:tcPr>
            <w:tcW w:type="dxa" w:w="22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 [code]: number } taux vs MAD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bvc</w:t>
            </w:r>
          </w:p>
        </w:tc>
        <w:tc>
          <w:tcPr>
            <w:tcW w:type="dxa" w:w="3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GitHub Raw JSON (patrimoi-bvc)</w:t>
            </w:r>
          </w:p>
        </w:tc>
        <w:tc>
          <w:tcPr>
            <w:tcW w:type="dxa" w:w="16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30 min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 cours: {...}, updated: string }</w:t>
            </w:r>
          </w:p>
        </w:tc>
      </w:tr>
    </w:tbl>
    <w:p>
      <w:pPr>
        <w:spacing w:after="0" w:before="60"/>
      </w:pPr>
      <w:r>
        <w:t xml:space="preserve"/>
      </w:r>
    </w:p>
    <w:p>
      <w:pPr>
        <w:pStyle w:val="Heading3"/>
        <w:spacing w:after="100" w:before="200"/>
      </w:pPr>
      <w:r>
        <w:rPr>
          <w:rFonts w:ascii="Arial" w:cs="Arial" w:eastAsia="Arial" w:hAnsi="Arial"/>
          <w:b/>
          <w:bCs/>
          <w:color w:val="00695C"/>
          <w:sz w:val="22"/>
          <w:szCs w:val="22"/>
        </w:rPr>
        <w:t xml:space="preserve">Résilience et retry</w:t>
      </w:r>
    </w:p>
    <w:p>
      <w:pPr>
        <w:pStyle w:val="ListParagraph"/>
        <w:numPr>
          <w:ilvl w:val="0"/>
          <w:numId w:val="2"/>
        </w:numPr>
        <w:spacing w:after="40" w:before="40"/>
      </w:pPr>
      <w:r>
        <w:rPr>
          <w:rFonts w:ascii="Arial" w:cs="Arial" w:eastAsia="Arial" w:hAnsi="Arial"/>
          <w:sz w:val="22"/>
          <w:szCs w:val="22"/>
        </w:rPr>
        <w:t xml:space="preserve">3 tentatives avec backoff exponentiel : 800ms → 1600ms → 3200ms</w:t>
      </w:r>
    </w:p>
    <w:p>
      <w:pPr>
        <w:pStyle w:val="ListParagraph"/>
        <w:numPr>
          <w:ilvl w:val="0"/>
          <w:numId w:val="2"/>
        </w:numPr>
        <w:spacing w:after="40" w:before="40"/>
      </w:pPr>
      <w:r>
        <w:rPr>
          <w:rFonts w:ascii="Arial" w:cs="Arial" w:eastAsia="Arial" w:hAnsi="Arial"/>
          <w:sz w:val="22"/>
          <w:szCs w:val="22"/>
        </w:rPr>
        <w:t xml:space="preserve">Timeout AbortSignal : 6 secondes par tentative</w:t>
      </w:r>
    </w:p>
    <w:p>
      <w:pPr>
        <w:pStyle w:val="ListParagraph"/>
        <w:numPr>
          <w:ilvl w:val="0"/>
          <w:numId w:val="2"/>
        </w:numPr>
        <w:spacing w:after="40" w:before="40"/>
      </w:pPr>
      <w:r>
        <w:rPr>
          <w:rFonts w:ascii="Arial" w:cs="Arial" w:eastAsia="Arial" w:hAnsi="Arial"/>
          <w:sz w:val="22"/>
          <w:szCs w:val="22"/>
        </w:rPr>
        <w:t xml:space="preserve">Cascade pour l'or : 3 sources indépendantes (metals.live → goldapi.io → gold-api.com)</w:t>
      </w:r>
    </w:p>
    <w:p>
      <w:pPr>
        <w:pStyle w:val="ListParagraph"/>
        <w:numPr>
          <w:ilvl w:val="0"/>
          <w:numId w:val="2"/>
        </w:numPr>
        <w:spacing w:after="40" w:before="40"/>
      </w:pPr>
      <w:r>
        <w:rPr>
          <w:rFonts w:ascii="Arial" w:cs="Arial" w:eastAsia="Arial" w:hAnsi="Arial"/>
          <w:sz w:val="22"/>
          <w:szCs w:val="22"/>
        </w:rPr>
        <w:t xml:space="preserve">Fallback client : si l'Edge Function échoue, l'app tente les APIs directement</w:t>
      </w:r>
    </w:p>
    <w:p>
      <w:pPr>
        <w:pStyle w:val="ListParagraph"/>
        <w:numPr>
          <w:ilvl w:val="0"/>
          <w:numId w:val="2"/>
        </w:numPr>
        <w:spacing w:after="40" w:before="40"/>
      </w:pPr>
      <w:r>
        <w:rPr>
          <w:rFonts w:ascii="Arial" w:cs="Arial" w:eastAsia="Arial" w:hAnsi="Arial"/>
          <w:sz w:val="22"/>
          <w:szCs w:val="22"/>
        </w:rPr>
        <w:t xml:space="preserve">Cache en-mémoire côté Edge Function (survit à plusieurs appels dans la même instance)</w:t>
      </w:r>
    </w:p>
    <w:p>
      <w:pPr>
        <w:pStyle w:val="Heading2"/>
        <w:spacing w:after="140" w:before="280"/>
      </w:pPr>
      <w:r>
        <w:rPr>
          <w:rFonts w:ascii="Arial" w:cs="Arial" w:eastAsia="Arial" w:hAnsi="Arial"/>
          <w:b/>
          <w:bCs/>
          <w:color w:val="1A237E"/>
          <w:sz w:val="26"/>
          <w:szCs w:val="26"/>
        </w:rPr>
        <w:t xml:space="preserve">6.3 Row Level Security (RLS)</w:t>
      </w:r>
    </w:p>
    <w:p>
      <w:pPr>
        <w:spacing w:after="80" w:before="60"/>
      </w:pPr>
      <w:r>
        <w:rPr>
          <w:rFonts w:ascii="Arial" w:cs="Arial" w:eastAsia="Arial" w:hAnsi="Arial"/>
          <w:sz w:val="22"/>
          <w:szCs w:val="22"/>
        </w:rPr>
        <w:t xml:space="preserve">La sécurité des données repose entièrement sur les policies RLS PostgreSQL. Même avec la clé anon (publique), un utilisateur ne peut jamais accéder aux données d'un autre.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2200"/>
        <w:gridCol w:w="3060"/>
      </w:tblGrid>
      <w:tr>
        <w:trPr>
          <w:tblHeader/>
        </w:trPr>
        <w:tc>
          <w:tcPr>
            <w:tcW w:type="dxa" w:w="2500"/>
            <w:tcBorders>
              <w:top w:val="single" w:color="CCCCCC" w:sz="1"/>
              <w:left w:val="single" w:color="CCCCCC" w:sz="1"/>
              <w:bottom w:val="single" w:color="CCCCCC" w:sz="1"/>
              <w:right w:val="single" w:color="CCCCCC" w:sz="1"/>
            </w:tcBorders>
            <w:shd w:fill="1B5E35" w:val="clear"/>
            <w:tcMar>
              <w:top w:type="dxa" w:w="80"/>
              <w:left w:type="dxa" w:w="160"/>
              <w:bottom w:type="dxa" w:w="80"/>
              <w:right w:type="dxa" w:w="160"/>
            </w:tcMar>
          </w:tcPr>
          <w:p>
            <w:r>
              <w:rPr>
                <w:rFonts w:ascii="Arial" w:cs="Arial" w:eastAsia="Arial" w:hAnsi="Arial"/>
                <w:b/>
                <w:bCs/>
                <w:color w:val="FFFFFF"/>
                <w:sz w:val="20"/>
                <w:szCs w:val="20"/>
              </w:rPr>
              <w:t xml:space="preserve">Table</w:t>
            </w:r>
          </w:p>
        </w:tc>
        <w:tc>
          <w:tcPr>
            <w:tcW w:type="dxa" w:w="1600"/>
            <w:tcBorders>
              <w:top w:val="single" w:color="CCCCCC" w:sz="1"/>
              <w:left w:val="single" w:color="CCCCCC" w:sz="1"/>
              <w:bottom w:val="single" w:color="CCCCCC" w:sz="1"/>
              <w:right w:val="single" w:color="CCCCCC" w:sz="1"/>
            </w:tcBorders>
            <w:shd w:fill="1B5E35" w:val="clear"/>
            <w:tcMar>
              <w:top w:type="dxa" w:w="80"/>
              <w:left w:type="dxa" w:w="160"/>
              <w:bottom w:type="dxa" w:w="80"/>
              <w:right w:type="dxa" w:w="160"/>
            </w:tcMar>
          </w:tcPr>
          <w:p>
            <w:r>
              <w:rPr>
                <w:rFonts w:ascii="Arial" w:cs="Arial" w:eastAsia="Arial" w:hAnsi="Arial"/>
                <w:b/>
                <w:bCs/>
                <w:color w:val="FFFFFF"/>
                <w:sz w:val="20"/>
                <w:szCs w:val="20"/>
              </w:rPr>
              <w:t xml:space="preserve">Operation</w:t>
            </w:r>
          </w:p>
        </w:tc>
        <w:tc>
          <w:tcPr>
            <w:tcW w:type="dxa" w:w="2200"/>
            <w:tcBorders>
              <w:top w:val="single" w:color="CCCCCC" w:sz="1"/>
              <w:left w:val="single" w:color="CCCCCC" w:sz="1"/>
              <w:bottom w:val="single" w:color="CCCCCC" w:sz="1"/>
              <w:right w:val="single" w:color="CCCCCC" w:sz="1"/>
            </w:tcBorders>
            <w:shd w:fill="1B5E35" w:val="clear"/>
            <w:tcMar>
              <w:top w:type="dxa" w:w="80"/>
              <w:left w:type="dxa" w:w="160"/>
              <w:bottom w:type="dxa" w:w="80"/>
              <w:right w:type="dxa" w:w="160"/>
            </w:tcMar>
          </w:tcPr>
          <w:p>
            <w:r>
              <w:rPr>
                <w:rFonts w:ascii="Arial" w:cs="Arial" w:eastAsia="Arial" w:hAnsi="Arial"/>
                <w:b/>
                <w:bCs/>
                <w:color w:val="FFFFFF"/>
                <w:sz w:val="20"/>
                <w:szCs w:val="20"/>
              </w:rPr>
              <w:t xml:space="preserve">Policy</w:t>
            </w:r>
          </w:p>
        </w:tc>
        <w:tc>
          <w:tcPr>
            <w:tcW w:type="dxa" w:w="3060"/>
            <w:tcBorders>
              <w:top w:val="single" w:color="CCCCCC" w:sz="1"/>
              <w:left w:val="single" w:color="CCCCCC" w:sz="1"/>
              <w:bottom w:val="single" w:color="CCCCCC" w:sz="1"/>
              <w:right w:val="single" w:color="CCCCCC" w:sz="1"/>
            </w:tcBorders>
            <w:shd w:fill="1B5E35" w:val="clear"/>
            <w:tcMar>
              <w:top w:type="dxa" w:w="80"/>
              <w:left w:type="dxa" w:w="160"/>
              <w:bottom w:type="dxa" w:w="80"/>
              <w:right w:type="dxa" w:w="160"/>
            </w:tcMar>
          </w:tcPr>
          <w:p>
            <w:r>
              <w:rPr>
                <w:rFonts w:ascii="Arial" w:cs="Arial" w:eastAsia="Arial" w:hAnsi="Arial"/>
                <w:b/>
                <w:bCs/>
                <w:color w:val="FFFFFF"/>
                <w:sz w:val="20"/>
                <w:szCs w:val="20"/>
              </w:rPr>
              <w:t xml:space="preserve">Condition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profiles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SELECT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lecture propre</w:t>
            </w:r>
          </w:p>
        </w:tc>
        <w:tc>
          <w:tcPr>
            <w:tcW w:type="dxa" w:w="30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auth.uid() = id</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profiles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UPDATE</w:t>
            </w:r>
          </w:p>
        </w:tc>
        <w:tc>
          <w:tcPr>
            <w:tcW w:type="dxa" w:w="22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mise à jour propre</w:t>
            </w:r>
          </w:p>
        </w:tc>
        <w:tc>
          <w:tcPr>
            <w:tcW w:type="dxa" w:w="30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auth.uid() = id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patrimoine_data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SELECT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lecture propre</w:t>
            </w:r>
          </w:p>
        </w:tc>
        <w:tc>
          <w:tcPr>
            <w:tcW w:type="dxa" w:w="30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auth.uid() = user_id</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patrimoine_data</w:t>
            </w:r>
          </w:p>
        </w:tc>
        <w:tc>
          <w:tcPr>
            <w:tcW w:type="dxa" w:w="16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INSERT</w:t>
            </w:r>
          </w:p>
        </w:tc>
        <w:tc>
          <w:tcPr>
            <w:tcW w:type="dxa" w:w="22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insertion propre</w:t>
            </w:r>
          </w:p>
        </w:tc>
        <w:tc>
          <w:tcPr>
            <w:tcW w:type="dxa" w:w="30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auth.uid() = user_id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patrimoine_data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UPDATE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mise à jour propre</w:t>
            </w:r>
          </w:p>
        </w:tc>
        <w:tc>
          <w:tcPr>
            <w:tcW w:type="dxa" w:w="30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auth.uid() = user_id</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patrimoine_data</w:t>
            </w:r>
          </w:p>
        </w:tc>
        <w:tc>
          <w:tcPr>
            <w:tcW w:type="dxa" w:w="16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DELETE</w:t>
            </w:r>
          </w:p>
        </w:tc>
        <w:tc>
          <w:tcPr>
            <w:tcW w:type="dxa" w:w="22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suppression propre</w:t>
            </w:r>
          </w:p>
        </w:tc>
        <w:tc>
          <w:tcPr>
            <w:tcW w:type="dxa" w:w="30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auth.uid() = user_id</w:t>
            </w:r>
          </w:p>
        </w:tc>
      </w:tr>
    </w:tbl>
    <w:p>
      <w:pPr>
        <w:pStyle w:val="Heading1"/>
        <w:pageBreakBefore/>
        <w:pBdr>
          <w:bottom w:val="single" w:color="1B5E35" w:sz="8" w:space="4"/>
        </w:pBdr>
        <w:spacing w:after="200" w:before="360"/>
      </w:pPr>
      <w:r>
        <w:rPr>
          <w:rFonts w:ascii="Arial" w:cs="Arial" w:eastAsia="Arial" w:hAnsi="Arial"/>
          <w:b/>
          <w:bCs/>
          <w:color w:val="1B5E35"/>
          <w:sz w:val="32"/>
          <w:szCs w:val="32"/>
        </w:rPr>
        <w:t xml:space="preserve">7. Flux de Données</w:t>
      </w:r>
    </w:p>
    <w:p>
      <w:pPr>
        <w:pStyle w:val="Heading2"/>
        <w:spacing w:after="140" w:before="280"/>
      </w:pPr>
      <w:r>
        <w:rPr>
          <w:rFonts w:ascii="Arial" w:cs="Arial" w:eastAsia="Arial" w:hAnsi="Arial"/>
          <w:b/>
          <w:bCs/>
          <w:color w:val="1A237E"/>
          <w:sz w:val="26"/>
          <w:szCs w:val="26"/>
        </w:rPr>
        <w:t xml:space="preserve">7.1 Flux de démarrage &amp; authentification</w:t>
      </w:r>
    </w:p>
    <w:p>
      <w:pPr>
        <w:spacing w:after="0" w:before="60"/>
      </w:pPr>
      <w:r>
        <w:t xml:space="preserve"/>
      </w:r>
    </w:p>
    <w:p>
      <w:pPr>
        <w:spacing w:after="60" w:before="120"/>
        <w:jc w:val="center"/>
      </w:pPr>
      <w:r>
        <w:drawing>
          <wp:inline distT="0" distB="0" distL="0" distR="0">
            <wp:extent cx="5905500" cy="3190875"/>
            <wp:effectExtent t="0" r="0" b="0" l="0"/>
            <wp:docPr id="1" name="schema_auth_flow.png" descr="schema_auth_flow.png" title="schema_auth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190875"/>
                    </a:xfrm>
                    <a:prstGeom prst="rect">
                      <a:avLst/>
                    </a:prstGeom>
                  </pic:spPr>
                </pic:pic>
              </a:graphicData>
            </a:graphic>
          </wp:inline>
        </w:drawing>
      </w:r>
    </w:p>
    <w:p>
      <w:pPr>
        <w:spacing w:after="160" w:before="60"/>
        <w:jc w:val="center"/>
      </w:pPr>
      <w:r>
        <w:rPr>
          <w:rFonts w:ascii="Arial" w:cs="Arial" w:eastAsia="Arial" w:hAnsi="Arial"/>
          <w:i/>
          <w:iCs/>
          <w:color w:val="607D8B"/>
          <w:sz w:val="18"/>
          <w:szCs w:val="18"/>
        </w:rPr>
        <w:t xml:space="preserve">Figure 5 — Séquence de démarrage et authentification</w:t>
      </w:r>
    </w:p>
    <w:p>
      <w:pPr>
        <w:spacing w:after="0" w:before="60"/>
      </w:pPr>
      <w:r>
        <w:t xml:space="preserve"/>
      </w:r>
    </w:p>
    <w:p>
      <w:pPr>
        <w:spacing w:after="80" w:before="60"/>
      </w:pPr>
      <w:r>
        <w:rPr>
          <w:rFonts w:ascii="Arial" w:cs="Arial" w:eastAsia="Arial" w:hAnsi="Arial"/>
          <w:sz w:val="22"/>
          <w:szCs w:val="22"/>
        </w:rPr>
        <w:t xml:space="preserve">Au lancement de l'application :</w:t>
      </w:r>
    </w:p>
    <w:p>
      <w:pPr>
        <w:pStyle w:val="ListParagraph"/>
        <w:numPr>
          <w:ilvl w:val="0"/>
          <w:numId w:val="2"/>
        </w:numPr>
        <w:spacing w:after="40" w:before="40"/>
      </w:pPr>
      <w:r>
        <w:rPr>
          <w:rFonts w:ascii="Arial" w:cs="Arial" w:eastAsia="Arial" w:hAnsi="Arial"/>
          <w:sz w:val="22"/>
          <w:szCs w:val="22"/>
        </w:rPr>
        <w:t xml:space="preserve">Étape 1-2 : Vérification de la session persistée dans AsyncStorage</w:t>
      </w:r>
    </w:p>
    <w:p>
      <w:pPr>
        <w:pStyle w:val="ListParagraph"/>
        <w:numPr>
          <w:ilvl w:val="0"/>
          <w:numId w:val="2"/>
        </w:numPr>
        <w:spacing w:after="40" w:before="40"/>
      </w:pPr>
      <w:r>
        <w:rPr>
          <w:rFonts w:ascii="Arial" w:cs="Arial" w:eastAsia="Arial" w:hAnsi="Arial"/>
          <w:sz w:val="22"/>
          <w:szCs w:val="22"/>
        </w:rPr>
        <w:t xml:space="preserve">Étape 3-6 : Validation de la session avec Supabase Auth (getSession)</w:t>
      </w:r>
    </w:p>
    <w:p>
      <w:pPr>
        <w:pStyle w:val="ListParagraph"/>
        <w:numPr>
          <w:ilvl w:val="0"/>
          <w:numId w:val="2"/>
        </w:numPr>
        <w:spacing w:after="40" w:before="40"/>
      </w:pPr>
      <w:r>
        <w:rPr>
          <w:rFonts w:ascii="Arial" w:cs="Arial" w:eastAsia="Arial" w:hAnsi="Arial"/>
          <w:sz w:val="22"/>
          <w:szCs w:val="22"/>
        </w:rPr>
        <w:t xml:space="preserve">Étape 7 : Mise à jour du store Zustand (setUser, setAuthReady)</w:t>
      </w:r>
    </w:p>
    <w:p>
      <w:pPr>
        <w:pStyle w:val="ListParagraph"/>
        <w:numPr>
          <w:ilvl w:val="0"/>
          <w:numId w:val="2"/>
        </w:numPr>
        <w:spacing w:after="40" w:before="40"/>
      </w:pPr>
      <w:r>
        <w:rPr>
          <w:rFonts w:ascii="Arial" w:cs="Arial" w:eastAsia="Arial" w:hAnsi="Arial"/>
          <w:sz w:val="22"/>
          <w:szCs w:val="22"/>
        </w:rPr>
        <w:t xml:space="preserve">Étape 8-9 : Chargement des données patrimoine depuis Supabase DB</w:t>
      </w:r>
    </w:p>
    <w:p>
      <w:pPr>
        <w:pStyle w:val="ListParagraph"/>
        <w:numPr>
          <w:ilvl w:val="0"/>
          <w:numId w:val="2"/>
        </w:numPr>
        <w:spacing w:after="40" w:before="40"/>
      </w:pPr>
      <w:r>
        <w:rPr>
          <w:rFonts w:ascii="Arial" w:cs="Arial" w:eastAsia="Arial" w:hAnsi="Arial"/>
          <w:sz w:val="22"/>
          <w:szCs w:val="22"/>
        </w:rPr>
        <w:t xml:space="preserve">Étape 10 : Application des migrations de schéma (migrateData)</w:t>
      </w:r>
    </w:p>
    <w:p>
      <w:pPr>
        <w:pStyle w:val="ListParagraph"/>
        <w:numPr>
          <w:ilvl w:val="0"/>
          <w:numId w:val="2"/>
        </w:numPr>
        <w:spacing w:after="40" w:before="40"/>
      </w:pPr>
      <w:r>
        <w:rPr>
          <w:rFonts w:ascii="Arial" w:cs="Arial" w:eastAsia="Arial" w:hAnsi="Arial"/>
          <w:sz w:val="22"/>
          <w:szCs w:val="22"/>
        </w:rPr>
        <w:t xml:space="preserve">Étape 11 : setAppReady(true) → affichage de l'interface principale</w:t>
      </w:r>
    </w:p>
    <w:p>
      <w:pPr>
        <w:pStyle w:val="Heading2"/>
        <w:spacing w:after="140" w:before="280"/>
      </w:pPr>
      <w:r>
        <w:rPr>
          <w:rFonts w:ascii="Arial" w:cs="Arial" w:eastAsia="Arial" w:hAnsi="Arial"/>
          <w:b/>
          <w:bCs/>
          <w:color w:val="1A237E"/>
          <w:sz w:val="26"/>
          <w:szCs w:val="26"/>
        </w:rPr>
        <w:t xml:space="preserve">7.2 Flux de synchronisation des données</w:t>
      </w:r>
    </w:p>
    <w:p>
      <w:pPr>
        <w:pStyle w:val="ListParagraph"/>
        <w:numPr>
          <w:ilvl w:val="0"/>
          <w:numId w:val="2"/>
        </w:numPr>
        <w:spacing w:after="40" w:before="40"/>
      </w:pPr>
      <w:r>
        <w:rPr>
          <w:rFonts w:ascii="Arial" w:cs="Arial" w:eastAsia="Arial" w:hAnsi="Arial"/>
          <w:sz w:val="22"/>
          <w:szCs w:val="22"/>
        </w:rPr>
        <w:t xml:space="preserve">Chaque modification → setData() → mise à jour Zustand (réactif)</w:t>
      </w:r>
    </w:p>
    <w:p>
      <w:pPr>
        <w:pStyle w:val="ListParagraph"/>
        <w:numPr>
          <w:ilvl w:val="0"/>
          <w:numId w:val="2"/>
        </w:numPr>
        <w:spacing w:after="40" w:before="40"/>
      </w:pPr>
      <w:r>
        <w:rPr>
          <w:rFonts w:ascii="Arial" w:cs="Arial" w:eastAsia="Arial" w:hAnsi="Arial"/>
          <w:sz w:val="22"/>
          <w:szCs w:val="22"/>
        </w:rPr>
        <w:t xml:space="preserve">Debounce 1 seconde → savePatrimoineData(userId, data) → Supabase upsert</w:t>
      </w:r>
    </w:p>
    <w:p>
      <w:pPr>
        <w:pStyle w:val="ListParagraph"/>
        <w:numPr>
          <w:ilvl w:val="0"/>
          <w:numId w:val="2"/>
        </w:numPr>
        <w:spacing w:after="40" w:before="40"/>
      </w:pPr>
      <w:r>
        <w:rPr>
          <w:rFonts w:ascii="Arial" w:cs="Arial" w:eastAsia="Arial" w:hAnsi="Arial"/>
          <w:sz w:val="22"/>
          <w:szCs w:val="22"/>
        </w:rPr>
        <w:t xml:space="preserve">En cas d'échec réseau → données conservées localement → retry à la reconnexion</w:t>
      </w:r>
    </w:p>
    <w:p>
      <w:pPr>
        <w:pStyle w:val="ListParagraph"/>
        <w:numPr>
          <w:ilvl w:val="0"/>
          <w:numId w:val="2"/>
        </w:numPr>
        <w:spacing w:after="40" w:before="40"/>
      </w:pPr>
      <w:r>
        <w:rPr>
          <w:rFonts w:ascii="Arial" w:cs="Arial" w:eastAsia="Arial" w:hAnsi="Arial"/>
          <w:sz w:val="22"/>
          <w:szCs w:val="22"/>
        </w:rPr>
        <w:t xml:space="preserve">Snapshot journalier → upsertSnapshot(history, date, total) → max 400 entrées</w:t>
      </w:r>
    </w:p>
    <w:p>
      <w:pPr>
        <w:pStyle w:val="Heading2"/>
        <w:spacing w:after="140" w:before="280"/>
      </w:pPr>
      <w:r>
        <w:rPr>
          <w:rFonts w:ascii="Arial" w:cs="Arial" w:eastAsia="Arial" w:hAnsi="Arial"/>
          <w:b/>
          <w:bCs/>
          <w:color w:val="1A237E"/>
          <w:sz w:val="26"/>
          <w:szCs w:val="26"/>
        </w:rPr>
        <w:t xml:space="preserve">7.3 Calcul en temps réel</w:t>
      </w:r>
    </w:p>
    <w:p>
      <w:pPr>
        <w:spacing w:after="80" w:before="60"/>
      </w:pPr>
      <w:r>
        <w:rPr>
          <w:rFonts w:ascii="Arial" w:cs="Arial" w:eastAsia="Arial" w:hAnsi="Arial"/>
          <w:sz w:val="22"/>
          <w:szCs w:val="22"/>
        </w:rPr>
        <w:t xml:space="preserve">Tous les calculs de valorisation sont effectués localement, de façon synchrone, dans des useMemo React Native :</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B5E35" w:val="clear"/>
            <w:tcMar>
              <w:top w:type="dxa" w:w="80"/>
              <w:left w:type="dxa" w:w="160"/>
              <w:bottom w:type="dxa" w:w="80"/>
              <w:right w:type="dxa" w:w="160"/>
            </w:tcMar>
          </w:tcPr>
          <w:p>
            <w:r>
              <w:rPr>
                <w:rFonts w:ascii="Arial" w:cs="Arial" w:eastAsia="Arial" w:hAnsi="Arial"/>
                <w:b/>
                <w:bCs/>
                <w:color w:val="FFFFFF"/>
                <w:sz w:val="20"/>
                <w:szCs w:val="20"/>
              </w:rPr>
              <w:t xml:space="preserve">Fonction (calc.js)</w:t>
            </w:r>
          </w:p>
        </w:tc>
        <w:tc>
          <w:tcPr>
            <w:tcW w:type="dxa" w:w="5760"/>
            <w:tcBorders>
              <w:top w:val="single" w:color="CCCCCC" w:sz="1"/>
              <w:left w:val="single" w:color="CCCCCC" w:sz="1"/>
              <w:bottom w:val="single" w:color="CCCCCC" w:sz="1"/>
              <w:right w:val="single" w:color="CCCCCC" w:sz="1"/>
            </w:tcBorders>
            <w:shd w:fill="1B5E35" w:val="clear"/>
            <w:tcMar>
              <w:top w:type="dxa" w:w="80"/>
              <w:left w:type="dxa" w:w="160"/>
              <w:bottom w:type="dxa" w:w="80"/>
              <w:right w:type="dxa" w:w="16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totalPatrimoine(data)</w:t>
            </w:r>
          </w:p>
        </w:tc>
        <w:tc>
          <w:tcPr>
            <w:tcW w:type="dxa" w:w="57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Somme des 8 catégories → total patrimoine DH</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calcPEA(arr)</w:t>
            </w:r>
          </w:p>
        </w:tc>
        <w:tc>
          <w:tcPr>
            <w:tcW w:type="dxa" w:w="57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Somme cours × quantité pour chaque action PEA</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calcCT(ct)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Actions BVC + OPCVM (VL × parts)</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calcOr(arr, prixOr)</w:t>
            </w:r>
          </w:p>
        </w:tc>
        <w:tc>
          <w:tcPr>
            <w:tcW w:type="dxa" w:w="57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Quantité × prixOr temps réel (ou prixOffert si &gt; valeur)</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calcImmo(arr)</w:t>
            </w:r>
          </w:p>
        </w:tc>
        <w:tc>
          <w:tcPr>
            <w:tcW w:type="dxa" w:w="57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Estimatif prixM2×surface ou prixOffert selon méthode</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calcTransport(arr)</w:t>
            </w:r>
          </w:p>
        </w:tc>
        <w:tc>
          <w:tcPr>
            <w:tcW w:type="dxa" w:w="57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valEstim ou prixOffert selon méthode choisie</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calcLiquide(liq)</w:t>
            </w:r>
          </w:p>
        </w:tc>
        <w:tc>
          <w:tcPr>
            <w:tcW w:type="dxa" w:w="57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DH + somme(quantité × taux MAD) pour devises</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totalCout(data)</w:t>
            </w:r>
          </w:p>
        </w:tc>
        <w:tc>
          <w:tcPr>
            <w:tcW w:type="dxa" w:w="57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PRU×qté + prix d'achat → base de calcul P&amp;L global</w:t>
            </w:r>
          </w:p>
        </w:tc>
      </w:tr>
    </w:tbl>
    <w:p>
      <w:pPr>
        <w:pStyle w:val="Heading1"/>
        <w:pageBreakBefore/>
        <w:pBdr>
          <w:bottom w:val="single" w:color="1B5E35" w:sz="8" w:space="4"/>
        </w:pBdr>
        <w:spacing w:after="200" w:before="360"/>
      </w:pPr>
      <w:r>
        <w:rPr>
          <w:rFonts w:ascii="Arial" w:cs="Arial" w:eastAsia="Arial" w:hAnsi="Arial"/>
          <w:b/>
          <w:bCs/>
          <w:color w:val="1B5E35"/>
          <w:sz w:val="32"/>
          <w:szCs w:val="32"/>
        </w:rPr>
        <w:t xml:space="preserve">8. Sécurité</w:t>
      </w:r>
    </w:p>
    <w:p>
      <w:pPr>
        <w:pStyle w:val="Heading2"/>
        <w:spacing w:after="140" w:before="280"/>
      </w:pPr>
      <w:r>
        <w:rPr>
          <w:rFonts w:ascii="Arial" w:cs="Arial" w:eastAsia="Arial" w:hAnsi="Arial"/>
          <w:b/>
          <w:bCs/>
          <w:color w:val="1A237E"/>
          <w:sz w:val="26"/>
          <w:szCs w:val="26"/>
        </w:rPr>
        <w:t xml:space="preserve">8.1 Modèle de sécurité global</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CCCCC" w:sz="1"/>
              <w:left w:val="single" w:color="CCCCCC" w:sz="1"/>
              <w:bottom w:val="single" w:color="CCCCCC" w:sz="1"/>
              <w:right w:val="single" w:color="CCCCCC" w:sz="1"/>
            </w:tcBorders>
            <w:shd w:fill="1B5E35" w:val="clear"/>
            <w:tcMar>
              <w:top w:type="dxa" w:w="80"/>
              <w:left w:type="dxa" w:w="160"/>
              <w:bottom w:type="dxa" w:w="80"/>
              <w:right w:type="dxa" w:w="160"/>
            </w:tcMar>
          </w:tcPr>
          <w:p>
            <w:r>
              <w:rPr>
                <w:rFonts w:ascii="Arial" w:cs="Arial" w:eastAsia="Arial" w:hAnsi="Arial"/>
                <w:b/>
                <w:bCs/>
                <w:color w:val="FFFFFF"/>
                <w:sz w:val="20"/>
                <w:szCs w:val="20"/>
              </w:rPr>
              <w:t xml:space="preserve">Couche</w:t>
            </w:r>
          </w:p>
        </w:tc>
        <w:tc>
          <w:tcPr>
            <w:tcW w:type="dxa" w:w="2400"/>
            <w:tcBorders>
              <w:top w:val="single" w:color="CCCCCC" w:sz="1"/>
              <w:left w:val="single" w:color="CCCCCC" w:sz="1"/>
              <w:bottom w:val="single" w:color="CCCCCC" w:sz="1"/>
              <w:right w:val="single" w:color="CCCCCC" w:sz="1"/>
            </w:tcBorders>
            <w:shd w:fill="1B5E35" w:val="clear"/>
            <w:tcMar>
              <w:top w:type="dxa" w:w="80"/>
              <w:left w:type="dxa" w:w="160"/>
              <w:bottom w:type="dxa" w:w="80"/>
              <w:right w:type="dxa" w:w="160"/>
            </w:tcMar>
          </w:tcPr>
          <w:p>
            <w:r>
              <w:rPr>
                <w:rFonts w:ascii="Arial" w:cs="Arial" w:eastAsia="Arial" w:hAnsi="Arial"/>
                <w:b/>
                <w:bCs/>
                <w:color w:val="FFFFFF"/>
                <w:sz w:val="20"/>
                <w:szCs w:val="20"/>
              </w:rPr>
              <w:t xml:space="preserve">Mécanisme</w:t>
            </w:r>
          </w:p>
        </w:tc>
        <w:tc>
          <w:tcPr>
            <w:tcW w:type="dxa" w:w="4760"/>
            <w:tcBorders>
              <w:top w:val="single" w:color="CCCCCC" w:sz="1"/>
              <w:left w:val="single" w:color="CCCCCC" w:sz="1"/>
              <w:bottom w:val="single" w:color="CCCCCC" w:sz="1"/>
              <w:right w:val="single" w:color="CCCCCC" w:sz="1"/>
            </w:tcBorders>
            <w:shd w:fill="1B5E35" w:val="clear"/>
            <w:tcMar>
              <w:top w:type="dxa" w:w="80"/>
              <w:left w:type="dxa" w:w="160"/>
              <w:bottom w:type="dxa" w:w="80"/>
              <w:right w:type="dxa" w:w="16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Transport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HTTPS/TLS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Tout trafic chiffré en transit (Supabase + APIs)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Authentification</w:t>
            </w:r>
          </w:p>
        </w:tc>
        <w:tc>
          <w:tcPr>
            <w:tcW w:type="dxa" w:w="24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JWT (Supabase Auth)</w:t>
            </w:r>
          </w:p>
        </w:tc>
        <w:tc>
          <w:tcPr>
            <w:tcW w:type="dxa" w:w="47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Tokens signés, auto-refresh, expiration configurable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Autorisation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RLS PostgreSQL</w:t>
            </w:r>
          </w:p>
        </w:tc>
        <w:tc>
          <w:tcPr>
            <w:tcW w:type="dxa" w:w="47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Isolation data par utilisateur, côté serveur</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Persistance session</w:t>
            </w:r>
          </w:p>
        </w:tc>
        <w:tc>
          <w:tcPr>
            <w:tcW w:type="dxa" w:w="24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AsyncStorage chiffré</w:t>
            </w:r>
          </w:p>
        </w:tc>
        <w:tc>
          <w:tcPr>
            <w:tcW w:type="dxa" w:w="47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Session JWT persistée localement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Biométrie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react-native-biometrics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Face ID / Touch ID comme 2ème facteur d'accès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UI</w:t>
            </w:r>
          </w:p>
        </w:tc>
        <w:tc>
          <w:tcPr>
            <w:tcW w:type="dxa" w:w="24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Mode discret</w:t>
            </w:r>
          </w:p>
        </w:tc>
        <w:tc>
          <w:tcPr>
            <w:tcW w:type="dxa" w:w="47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Masquage des montants à l'écran (vie privée)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Clé publique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Supabase Anon Key</w:t>
            </w:r>
          </w:p>
        </w:tc>
        <w:tc>
          <w:tcPr>
            <w:tcW w:type="dxa" w:w="47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Clé publique côté client — sécurité assurée par RLS</w:t>
            </w:r>
          </w:p>
        </w:tc>
      </w:tr>
    </w:tbl>
    <w:p>
      <w:pPr>
        <w:pStyle w:val="Heading2"/>
        <w:spacing w:after="140" w:before="280"/>
      </w:pPr>
      <w:r>
        <w:rPr>
          <w:rFonts w:ascii="Arial" w:cs="Arial" w:eastAsia="Arial" w:hAnsi="Arial"/>
          <w:b/>
          <w:bCs/>
          <w:color w:val="1A237E"/>
          <w:sz w:val="26"/>
          <w:szCs w:val="26"/>
        </w:rPr>
        <w:t xml:space="preserve">8.2 Authentification (Supabase Auth)</w:t>
      </w:r>
    </w:p>
    <w:p>
      <w:pPr>
        <w:pStyle w:val="ListParagraph"/>
        <w:numPr>
          <w:ilvl w:val="0"/>
          <w:numId w:val="2"/>
        </w:numPr>
        <w:spacing w:after="40" w:before="40"/>
      </w:pPr>
      <w:r>
        <w:rPr>
          <w:rFonts w:ascii="Arial" w:cs="Arial" w:eastAsia="Arial" w:hAnsi="Arial"/>
          <w:sz w:val="22"/>
          <w:szCs w:val="22"/>
        </w:rPr>
        <w:t xml:space="preserve">Email + mot de passe (bcrypt côté Supabase, jamais stocké en clair)</w:t>
      </w:r>
    </w:p>
    <w:p>
      <w:pPr>
        <w:pStyle w:val="ListParagraph"/>
        <w:numPr>
          <w:ilvl w:val="0"/>
          <w:numId w:val="2"/>
        </w:numPr>
        <w:spacing w:after="40" w:before="40"/>
      </w:pPr>
      <w:r>
        <w:rPr>
          <w:rFonts w:ascii="Arial" w:cs="Arial" w:eastAsia="Arial" w:hAnsi="Arial"/>
          <w:sz w:val="22"/>
          <w:szCs w:val="22"/>
        </w:rPr>
        <w:t xml:space="preserve">JWT : access token (~1h) + refresh token (longue durée)</w:t>
      </w:r>
    </w:p>
    <w:p>
      <w:pPr>
        <w:pStyle w:val="ListParagraph"/>
        <w:numPr>
          <w:ilvl w:val="0"/>
          <w:numId w:val="2"/>
        </w:numPr>
        <w:spacing w:after="40" w:before="40"/>
      </w:pPr>
      <w:r>
        <w:rPr>
          <w:rFonts w:ascii="Arial" w:cs="Arial" w:eastAsia="Arial" w:hAnsi="Arial"/>
          <w:sz w:val="22"/>
          <w:szCs w:val="22"/>
        </w:rPr>
        <w:t xml:space="preserve">Auto-refresh automatique (autoRefreshToken: true)</w:t>
      </w:r>
    </w:p>
    <w:p>
      <w:pPr>
        <w:pStyle w:val="ListParagraph"/>
        <w:numPr>
          <w:ilvl w:val="0"/>
          <w:numId w:val="2"/>
        </w:numPr>
        <w:spacing w:after="40" w:before="40"/>
      </w:pPr>
      <w:r>
        <w:rPr>
          <w:rFonts w:ascii="Arial" w:cs="Arial" w:eastAsia="Arial" w:hAnsi="Arial"/>
          <w:sz w:val="22"/>
          <w:szCs w:val="22"/>
        </w:rPr>
        <w:t xml:space="preserve">Détection de changement de session : onAuthStateChange → mise à jour store</w:t>
      </w:r>
    </w:p>
    <w:p>
      <w:pPr>
        <w:pStyle w:val="ListParagraph"/>
        <w:numPr>
          <w:ilvl w:val="0"/>
          <w:numId w:val="2"/>
        </w:numPr>
        <w:spacing w:after="40" w:before="40"/>
      </w:pPr>
      <w:r>
        <w:rPr>
          <w:rFonts w:ascii="Arial" w:cs="Arial" w:eastAsia="Arial" w:hAnsi="Arial"/>
          <w:sz w:val="22"/>
          <w:szCs w:val="22"/>
        </w:rPr>
        <w:t xml:space="preserve">Reset password : lien envoyé par email via Supabase (redirectTo: 'patrimoi://reset-password')</w:t>
      </w:r>
    </w:p>
    <w:p>
      <w:pPr>
        <w:pStyle w:val="Heading2"/>
        <w:spacing w:after="140" w:before="280"/>
      </w:pPr>
      <w:r>
        <w:rPr>
          <w:rFonts w:ascii="Arial" w:cs="Arial" w:eastAsia="Arial" w:hAnsi="Arial"/>
          <w:b/>
          <w:bCs/>
          <w:color w:val="1A237E"/>
          <w:sz w:val="26"/>
          <w:szCs w:val="26"/>
        </w:rPr>
        <w:t xml:space="preserve">8.3 Authentification biométrique</w:t>
      </w:r>
    </w:p>
    <w:p>
      <w:pPr>
        <w:spacing w:after="80" w:before="60"/>
      </w:pPr>
      <w:r>
        <w:rPr>
          <w:rFonts w:ascii="Arial" w:cs="Arial" w:eastAsia="Arial" w:hAnsi="Arial"/>
          <w:sz w:val="22"/>
          <w:szCs w:val="22"/>
        </w:rPr>
        <w:t xml:space="preserve">Implémentée via react-native-biometrics avec chargement dynamique pour éviter un crash si le pod natif est absent (simulateur).</w:t>
      </w:r>
    </w:p>
    <w:p>
      <w:pPr>
        <w:pStyle w:val="ListParagraph"/>
        <w:numPr>
          <w:ilvl w:val="0"/>
          <w:numId w:val="2"/>
        </w:numPr>
        <w:spacing w:after="40" w:before="40"/>
      </w:pPr>
      <w:r>
        <w:rPr>
          <w:rFonts w:ascii="Arial" w:cs="Arial" w:eastAsia="Arial" w:hAnsi="Arial"/>
          <w:sz w:val="22"/>
          <w:szCs w:val="22"/>
        </w:rPr>
        <w:t xml:space="preserve">Vérification de disponibilité (isSensorAvailable) avant affichage de l'option</w:t>
      </w:r>
    </w:p>
    <w:p>
      <w:pPr>
        <w:pStyle w:val="ListParagraph"/>
        <w:numPr>
          <w:ilvl w:val="0"/>
          <w:numId w:val="2"/>
        </w:numPr>
        <w:spacing w:after="40" w:before="40"/>
      </w:pPr>
      <w:r>
        <w:rPr>
          <w:rFonts w:ascii="Arial" w:cs="Arial" w:eastAsia="Arial" w:hAnsi="Arial"/>
          <w:sz w:val="22"/>
          <w:szCs w:val="22"/>
        </w:rPr>
        <w:t xml:space="preserve">Utilisation : Face ID sur iPhone avec caméra TrueDepth, Touch ID sur appareils plus anciens</w:t>
      </w:r>
    </w:p>
    <w:p>
      <w:pPr>
        <w:pStyle w:val="ListParagraph"/>
        <w:numPr>
          <w:ilvl w:val="0"/>
          <w:numId w:val="2"/>
        </w:numPr>
        <w:spacing w:after="40" w:before="40"/>
      </w:pPr>
      <w:r>
        <w:rPr>
          <w:rFonts w:ascii="Arial" w:cs="Arial" w:eastAsia="Arial" w:hAnsi="Arial"/>
          <w:sz w:val="22"/>
          <w:szCs w:val="22"/>
        </w:rPr>
        <w:t xml:space="preserve">Fallback gracieux : si biométrie indisponible, retour silencieux (false) sans crash</w:t>
      </w:r>
    </w:p>
    <w:p>
      <w:pPr>
        <w:pStyle w:val="ListParagraph"/>
        <w:numPr>
          <w:ilvl w:val="0"/>
          <w:numId w:val="2"/>
        </w:numPr>
        <w:spacing w:after="40" w:before="40"/>
      </w:pPr>
      <w:r>
        <w:rPr>
          <w:rFonts w:ascii="Arial" w:cs="Arial" w:eastAsia="Arial" w:hAnsi="Arial"/>
          <w:sz w:val="22"/>
          <w:szCs w:val="22"/>
        </w:rPr>
        <w:t xml:space="preserve">Activé par l'utilisateur dans PageParams (désactivé par défaut)</w:t>
      </w:r>
    </w:p>
    <w:p>
      <w:pPr>
        <w:pStyle w:val="Heading2"/>
        <w:spacing w:after="140" w:before="280"/>
      </w:pPr>
      <w:r>
        <w:rPr>
          <w:rFonts w:ascii="Arial" w:cs="Arial" w:eastAsia="Arial" w:hAnsi="Arial"/>
          <w:b/>
          <w:bCs/>
          <w:color w:val="1A237E"/>
          <w:sz w:val="26"/>
          <w:szCs w:val="26"/>
        </w:rPr>
        <w:t xml:space="preserve">8.4 Mode discret</w:t>
      </w:r>
    </w:p>
    <w:p>
      <w:pPr>
        <w:pStyle w:val="ListParagraph"/>
        <w:numPr>
          <w:ilvl w:val="0"/>
          <w:numId w:val="2"/>
        </w:numPr>
        <w:spacing w:after="40" w:before="40"/>
      </w:pPr>
      <w:r>
        <w:rPr>
          <w:rFonts w:ascii="Arial" w:cs="Arial" w:eastAsia="Arial" w:hAnsi="Arial"/>
          <w:sz w:val="22"/>
          <w:szCs w:val="22"/>
        </w:rPr>
        <w:t xml:space="preserve">Bascule un flag discret dans le store Zustand</w:t>
      </w:r>
    </w:p>
    <w:p>
      <w:pPr>
        <w:pStyle w:val="ListParagraph"/>
        <w:numPr>
          <w:ilvl w:val="0"/>
          <w:numId w:val="2"/>
        </w:numPr>
        <w:spacing w:after="40" w:before="40"/>
      </w:pPr>
      <w:r>
        <w:rPr>
          <w:rFonts w:ascii="Arial" w:cs="Arial" w:eastAsia="Arial" w:hAnsi="Arial"/>
          <w:sz w:val="22"/>
          <w:szCs w:val="22"/>
        </w:rPr>
        <w:t xml:space="preserve">Tous les montants affichés sont remplacés par "•••• DH"</w:t>
      </w:r>
    </w:p>
    <w:p>
      <w:pPr>
        <w:pStyle w:val="ListParagraph"/>
        <w:numPr>
          <w:ilvl w:val="0"/>
          <w:numId w:val="2"/>
        </w:numPr>
        <w:spacing w:after="40" w:before="40"/>
      </w:pPr>
      <w:r>
        <w:rPr>
          <w:rFonts w:ascii="Arial" w:cs="Arial" w:eastAsia="Arial" w:hAnsi="Arial"/>
          <w:sz w:val="22"/>
          <w:szCs w:val="22"/>
        </w:rPr>
        <w:t xml:space="preserve">Actif sur Dashboard et Actifs — Accueil inclus (total masqué)</w:t>
      </w:r>
    </w:p>
    <w:p>
      <w:pPr>
        <w:pStyle w:val="ListParagraph"/>
        <w:numPr>
          <w:ilvl w:val="0"/>
          <w:numId w:val="2"/>
        </w:numPr>
        <w:spacing w:after="40" w:before="40"/>
      </w:pPr>
      <w:r>
        <w:rPr>
          <w:rFonts w:ascii="Arial" w:cs="Arial" w:eastAsia="Arial" w:hAnsi="Arial"/>
          <w:sz w:val="22"/>
          <w:szCs w:val="22"/>
        </w:rPr>
        <w:t xml:space="preserve">Persisté dans AsyncStorage pour survivre au redémarrage</w:t>
      </w:r>
    </w:p>
    <w:p>
      <w:pPr>
        <w:pStyle w:val="Heading1"/>
        <w:pageBreakBefore/>
        <w:pBdr>
          <w:bottom w:val="single" w:color="1B5E35" w:sz="8" w:space="4"/>
        </w:pBdr>
        <w:spacing w:after="200" w:before="360"/>
      </w:pPr>
      <w:r>
        <w:rPr>
          <w:rFonts w:ascii="Arial" w:cs="Arial" w:eastAsia="Arial" w:hAnsi="Arial"/>
          <w:b/>
          <w:bCs/>
          <w:color w:val="1B5E35"/>
          <w:sz w:val="32"/>
          <w:szCs w:val="32"/>
        </w:rPr>
        <w:t xml:space="preserve">9. APIs Externes</w:t>
      </w:r>
    </w:p>
    <w:p>
      <w:pPr>
        <w:pStyle w:val="Heading2"/>
        <w:spacing w:after="140" w:before="280"/>
      </w:pPr>
      <w:r>
        <w:rPr>
          <w:rFonts w:ascii="Arial" w:cs="Arial" w:eastAsia="Arial" w:hAnsi="Arial"/>
          <w:b/>
          <w:bCs/>
          <w:color w:val="1A237E"/>
          <w:sz w:val="26"/>
          <w:szCs w:val="26"/>
        </w:rPr>
        <w:t xml:space="preserve">9.1 Tableau de synthèse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400"/>
        <w:gridCol w:w="1800"/>
        <w:gridCol w:w="1160"/>
      </w:tblGrid>
      <w:tr>
        <w:trPr>
          <w:tblHeader/>
        </w:trPr>
        <w:tc>
          <w:tcPr>
            <w:tcW w:type="dxa" w:w="3200"/>
            <w:tcBorders>
              <w:top w:val="single" w:color="CCCCCC" w:sz="1"/>
              <w:left w:val="single" w:color="CCCCCC" w:sz="1"/>
              <w:bottom w:val="single" w:color="CCCCCC" w:sz="1"/>
              <w:right w:val="single" w:color="CCCCCC" w:sz="1"/>
            </w:tcBorders>
            <w:shd w:fill="1B5E35" w:val="clear"/>
            <w:tcMar>
              <w:top w:type="dxa" w:w="80"/>
              <w:left w:type="dxa" w:w="160"/>
              <w:bottom w:type="dxa" w:w="80"/>
              <w:right w:type="dxa" w:w="160"/>
            </w:tcMar>
          </w:tcPr>
          <w:p>
            <w:r>
              <w:rPr>
                <w:rFonts w:ascii="Arial" w:cs="Arial" w:eastAsia="Arial" w:hAnsi="Arial"/>
                <w:b/>
                <w:bCs/>
                <w:color w:val="FFFFFF"/>
                <w:sz w:val="20"/>
                <w:szCs w:val="20"/>
              </w:rPr>
              <w:t xml:space="preserve">API</w:t>
            </w:r>
          </w:p>
        </w:tc>
        <w:tc>
          <w:tcPr>
            <w:tcW w:type="dxa" w:w="1800"/>
            <w:tcBorders>
              <w:top w:val="single" w:color="CCCCCC" w:sz="1"/>
              <w:left w:val="single" w:color="CCCCCC" w:sz="1"/>
              <w:bottom w:val="single" w:color="CCCCCC" w:sz="1"/>
              <w:right w:val="single" w:color="CCCCCC" w:sz="1"/>
            </w:tcBorders>
            <w:shd w:fill="1B5E35" w:val="clear"/>
            <w:tcMar>
              <w:top w:type="dxa" w:w="80"/>
              <w:left w:type="dxa" w:w="160"/>
              <w:bottom w:type="dxa" w:w="80"/>
              <w:right w:type="dxa" w:w="160"/>
            </w:tcMar>
          </w:tcPr>
          <w:p>
            <w:r>
              <w:rPr>
                <w:rFonts w:ascii="Arial" w:cs="Arial" w:eastAsia="Arial" w:hAnsi="Arial"/>
                <w:b/>
                <w:bCs/>
                <w:color w:val="FFFFFF"/>
                <w:sz w:val="20"/>
                <w:szCs w:val="20"/>
              </w:rPr>
              <w:t xml:space="preserve">Usage</w:t>
            </w:r>
          </w:p>
        </w:tc>
        <w:tc>
          <w:tcPr>
            <w:tcW w:type="dxa" w:w="1400"/>
            <w:tcBorders>
              <w:top w:val="single" w:color="CCCCCC" w:sz="1"/>
              <w:left w:val="single" w:color="CCCCCC" w:sz="1"/>
              <w:bottom w:val="single" w:color="CCCCCC" w:sz="1"/>
              <w:right w:val="single" w:color="CCCCCC" w:sz="1"/>
            </w:tcBorders>
            <w:shd w:fill="1B5E35" w:val="clear"/>
            <w:tcMar>
              <w:top w:type="dxa" w:w="80"/>
              <w:left w:type="dxa" w:w="160"/>
              <w:bottom w:type="dxa" w:w="80"/>
              <w:right w:type="dxa" w:w="160"/>
            </w:tcMar>
          </w:tcPr>
          <w:p>
            <w:r>
              <w:rPr>
                <w:rFonts w:ascii="Arial" w:cs="Arial" w:eastAsia="Arial" w:hAnsi="Arial"/>
                <w:b/>
                <w:bCs/>
                <w:color w:val="FFFFFF"/>
                <w:sz w:val="20"/>
                <w:szCs w:val="20"/>
              </w:rPr>
              <w:t xml:space="preserve">Auth</w:t>
            </w:r>
          </w:p>
        </w:tc>
        <w:tc>
          <w:tcPr>
            <w:tcW w:type="dxa" w:w="1800"/>
            <w:tcBorders>
              <w:top w:val="single" w:color="CCCCCC" w:sz="1"/>
              <w:left w:val="single" w:color="CCCCCC" w:sz="1"/>
              <w:bottom w:val="single" w:color="CCCCCC" w:sz="1"/>
              <w:right w:val="single" w:color="CCCCCC" w:sz="1"/>
            </w:tcBorders>
            <w:shd w:fill="1B5E35" w:val="clear"/>
            <w:tcMar>
              <w:top w:type="dxa" w:w="80"/>
              <w:left w:type="dxa" w:w="160"/>
              <w:bottom w:type="dxa" w:w="80"/>
              <w:right w:type="dxa" w:w="160"/>
            </w:tcMar>
          </w:tcPr>
          <w:p>
            <w:r>
              <w:rPr>
                <w:rFonts w:ascii="Arial" w:cs="Arial" w:eastAsia="Arial" w:hAnsi="Arial"/>
                <w:b/>
                <w:bCs/>
                <w:color w:val="FFFFFF"/>
                <w:sz w:val="20"/>
                <w:szCs w:val="20"/>
              </w:rPr>
              <w:t xml:space="preserve">Format retour</w:t>
            </w:r>
          </w:p>
        </w:tc>
        <w:tc>
          <w:tcPr>
            <w:tcW w:type="dxa" w:w="1160"/>
            <w:tcBorders>
              <w:top w:val="single" w:color="CCCCCC" w:sz="1"/>
              <w:left w:val="single" w:color="CCCCCC" w:sz="1"/>
              <w:bottom w:val="single" w:color="CCCCCC" w:sz="1"/>
              <w:right w:val="single" w:color="CCCCCC" w:sz="1"/>
            </w:tcBorders>
            <w:shd w:fill="1B5E35" w:val="clear"/>
            <w:tcMar>
              <w:top w:type="dxa" w:w="80"/>
              <w:left w:type="dxa" w:w="160"/>
              <w:bottom w:type="dxa" w:w="80"/>
              <w:right w:type="dxa" w:w="160"/>
            </w:tcMar>
          </w:tcPr>
          <w:p>
            <w:r>
              <w:rPr>
                <w:rFonts w:ascii="Arial" w:cs="Arial" w:eastAsia="Arial" w:hAnsi="Arial"/>
                <w:b/>
                <w:bCs/>
                <w:color w:val="FFFFFF"/>
                <w:sz w:val="20"/>
                <w:szCs w:val="20"/>
              </w:rPr>
              <w:t xml:space="preserve">Appelée par</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api.metals.live/v1/spot/gold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Prix or USD (source 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Aucune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JSON [{gold: number}]</w:t>
            </w:r>
          </w:p>
        </w:tc>
        <w:tc>
          <w:tcPr>
            <w:tcW w:type="dxa" w:w="11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Edge Function</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goldapi.io/api/XAU/USD</w:t>
            </w:r>
          </w:p>
        </w:tc>
        <w:tc>
          <w:tcPr>
            <w:tcW w:type="dxa" w:w="18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Prix or USD (source 2 fallback)</w:t>
            </w:r>
          </w:p>
        </w:tc>
        <w:tc>
          <w:tcPr>
            <w:tcW w:type="dxa" w:w="14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Header x-access-token</w:t>
            </w:r>
          </w:p>
        </w:tc>
        <w:tc>
          <w:tcPr>
            <w:tcW w:type="dxa" w:w="18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JSON {price: number}</w:t>
            </w:r>
          </w:p>
        </w:tc>
        <w:tc>
          <w:tcPr>
            <w:tcW w:type="dxa" w:w="11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Edge Function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api.gold-api.com/price/XAU</w:t>
            </w:r>
          </w:p>
        </w:tc>
        <w:tc>
          <w:tcPr>
            <w:tcW w:type="dxa" w:w="18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Prix or USD (source 3 fallback)</w:t>
            </w:r>
          </w:p>
        </w:tc>
        <w:tc>
          <w:tcPr>
            <w:tcW w:type="dxa" w:w="14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Aucune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JSON {price: number}</w:t>
            </w:r>
          </w:p>
        </w:tc>
        <w:tc>
          <w:tcPr>
            <w:tcW w:type="dxa" w:w="11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Edge Function</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open.er-api.com/v6/latest/USD</w:t>
            </w:r>
          </w:p>
        </w:tc>
        <w:tc>
          <w:tcPr>
            <w:tcW w:type="dxa" w:w="18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Taux de change (MAD, EUR, USD...)</w:t>
            </w:r>
          </w:p>
        </w:tc>
        <w:tc>
          <w:tcPr>
            <w:tcW w:type="dxa" w:w="14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Aucune (gratuit)</w:t>
            </w:r>
          </w:p>
        </w:tc>
        <w:tc>
          <w:tcPr>
            <w:tcW w:type="dxa" w:w="18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JSON {rates: {...}}</w:t>
            </w:r>
          </w:p>
        </w:tc>
        <w:tc>
          <w:tcPr>
            <w:tcW w:type="dxa" w:w="11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Edge Function + Fallback direct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raw.githubusercontent.com/.../bvc_cours.json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Cours BVC temps semi-réel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Aucune (GitHub public)</w:t>
            </w:r>
          </w:p>
        </w:tc>
        <w:tc>
          <w:tcPr>
            <w:tcW w:type="dxa" w:w="18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JSON {cours:{}, updated:string}</w:t>
            </w:r>
          </w:p>
        </w:tc>
        <w:tc>
          <w:tcPr>
            <w:tcW w:type="dxa" w:w="11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Edge Function + Fallback direct</w:t>
            </w:r>
          </w:p>
        </w:tc>
      </w:tr>
    </w:tbl>
    <w:p>
      <w:pPr>
        <w:pStyle w:val="Heading2"/>
        <w:spacing w:after="140" w:before="280"/>
      </w:pPr>
      <w:r>
        <w:rPr>
          <w:rFonts w:ascii="Arial" w:cs="Arial" w:eastAsia="Arial" w:hAnsi="Arial"/>
          <w:b/>
          <w:bCs/>
          <w:color w:val="1A237E"/>
          <w:sz w:val="26"/>
          <w:szCs w:val="26"/>
        </w:rPr>
        <w:t xml:space="preserve">9.2 Stratégie de résilience</w:t>
      </w:r>
    </w:p>
    <w:p>
      <w:pPr>
        <w:spacing w:after="80" w:before="60"/>
      </w:pPr>
      <w:r>
        <w:rPr>
          <w:rFonts w:ascii="Arial" w:cs="Arial" w:eastAsia="Arial" w:hAnsi="Arial"/>
          <w:sz w:val="22"/>
          <w:szCs w:val="22"/>
        </w:rPr>
        <w:t xml:space="preserve">Deux niveaux de résilience sont implémentés :</w:t>
      </w:r>
    </w:p>
    <w:p>
      <w:pPr>
        <w:pStyle w:val="ListParagraph"/>
        <w:numPr>
          <w:ilvl w:val="0"/>
          <w:numId w:val="2"/>
        </w:numPr>
        <w:spacing w:after="40" w:before="40"/>
      </w:pPr>
      <w:r>
        <w:rPr>
          <w:rFonts w:ascii="Arial" w:cs="Arial" w:eastAsia="Arial" w:hAnsi="Arial"/>
          <w:sz w:val="22"/>
          <w:szCs w:val="22"/>
        </w:rPr>
        <w:t xml:space="preserve">Niveau 1 — Edge Function : retry x3 par source + cache mémoire par TTL</w:t>
      </w:r>
    </w:p>
    <w:p>
      <w:pPr>
        <w:pStyle w:val="ListParagraph"/>
        <w:numPr>
          <w:ilvl w:val="0"/>
          <w:numId w:val="2"/>
        </w:numPr>
        <w:spacing w:after="40" w:before="40"/>
      </w:pPr>
      <w:r>
        <w:rPr>
          <w:rFonts w:ascii="Arial" w:cs="Arial" w:eastAsia="Arial" w:hAnsi="Arial"/>
          <w:sz w:val="22"/>
          <w:szCs w:val="22"/>
        </w:rPr>
        <w:t xml:space="preserve">Niveau 2 — Client mobile : si l'Edge Function est indisponible, fetch direct des APIs (USE_PROXY = true par défaut, basculable à false via feature flag)</w:t>
      </w:r>
    </w:p>
    <w:p>
      <w:pPr>
        <w:pBdr>
          <w:left w:val="thick" w:color="7B3F00" w:sz="12" w:space="8"/>
        </w:pBdr>
        <w:shd w:fill="FFFDE7" w:val="clear"/>
        <w:spacing w:after="80" w:before="80"/>
        <w:ind w:left="360" w:right="360"/>
      </w:pPr>
      <w:r>
        <w:rPr>
          <w:rFonts w:ascii="Arial" w:cs="Arial" w:eastAsia="Arial" w:hAnsi="Arial"/>
          <w:color w:val="7B3F00"/>
          <w:sz w:val="21"/>
          <w:szCs w:val="21"/>
        </w:rPr>
        <w:t xml:space="preserve">Feature flag : const USE_PROXY = true dans data.js — permet de basculer instantanément entre proxy et fetch direct sans redéploiement de l'app.</w:t>
      </w:r>
    </w:p>
    <w:p>
      <w:pPr>
        <w:pStyle w:val="Heading2"/>
        <w:spacing w:after="140" w:before="280"/>
      </w:pPr>
      <w:r>
        <w:rPr>
          <w:rFonts w:ascii="Arial" w:cs="Arial" w:eastAsia="Arial" w:hAnsi="Arial"/>
          <w:b/>
          <w:bCs/>
          <w:color w:val="1A237E"/>
          <w:sz w:val="26"/>
          <w:szCs w:val="26"/>
        </w:rPr>
        <w:t xml:space="preserve">9.3 Données BVC</w:t>
      </w:r>
    </w:p>
    <w:p>
      <w:pPr>
        <w:spacing w:after="80" w:before="60"/>
      </w:pPr>
      <w:r>
        <w:rPr>
          <w:rFonts w:ascii="Arial" w:cs="Arial" w:eastAsia="Arial" w:hAnsi="Arial"/>
          <w:sz w:val="22"/>
          <w:szCs w:val="22"/>
        </w:rPr>
        <w:t xml:space="preserve">Les cours BVC (Bourse des Valeurs de Casablanca) sont mis à jour via un fichier JSON hébergé sur GitHub (dépôt patrimoi-bvc). Ce fichier contient les cours de clôture de toutes les valeurs cotées à la BVC, mis à jour chaque soir de bourse.</w:t>
      </w:r>
    </w:p>
    <w:p>
      <w:pPr>
        <w:pStyle w:val="ListParagraph"/>
        <w:numPr>
          <w:ilvl w:val="0"/>
          <w:numId w:val="2"/>
        </w:numPr>
        <w:spacing w:after="40" w:before="40"/>
      </w:pPr>
      <w:r>
        <w:rPr>
          <w:rFonts w:ascii="Arial" w:cs="Arial" w:eastAsia="Arial" w:hAnsi="Arial"/>
          <w:sz w:val="22"/>
          <w:szCs w:val="22"/>
        </w:rPr>
        <w:t xml:space="preserve">Format : { cours: { "ATW": { cours: 714.80, var_pct: +0.25 }, ... }, updated: "2026-07-08" }</w:t>
      </w:r>
    </w:p>
    <w:p>
      <w:pPr>
        <w:pStyle w:val="ListParagraph"/>
        <w:numPr>
          <w:ilvl w:val="0"/>
          <w:numId w:val="2"/>
        </w:numPr>
        <w:spacing w:after="40" w:before="40"/>
      </w:pPr>
      <w:r>
        <w:rPr>
          <w:rFonts w:ascii="Arial" w:cs="Arial" w:eastAsia="Arial" w:hAnsi="Arial"/>
          <w:sz w:val="22"/>
          <w:szCs w:val="22"/>
        </w:rPr>
        <w:t xml:space="preserve">Cache : 30 minutes en mémoire Edge Function, 24h dans AsyncStorage client</w:t>
      </w:r>
    </w:p>
    <w:p>
      <w:pPr>
        <w:pStyle w:val="ListParagraph"/>
        <w:numPr>
          <w:ilvl w:val="0"/>
          <w:numId w:val="2"/>
        </w:numPr>
        <w:spacing w:after="40" w:before="40"/>
      </w:pPr>
      <w:r>
        <w:rPr>
          <w:rFonts w:ascii="Arial" w:cs="Arial" w:eastAsia="Arial" w:hAnsi="Arial"/>
          <w:sz w:val="22"/>
          <w:szCs w:val="22"/>
        </w:rPr>
        <w:t xml:space="preserve">Application : la fonction applyBVCCours() met à jour automatiquement les cours dans data.pea et data.ct.actions</w:t>
      </w:r>
    </w:p>
    <w:p>
      <w:pPr>
        <w:pStyle w:val="Heading1"/>
        <w:pageBreakBefore/>
        <w:pBdr>
          <w:bottom w:val="single" w:color="1B5E35" w:sz="8" w:space="4"/>
        </w:pBdr>
        <w:spacing w:after="200" w:before="360"/>
      </w:pPr>
      <w:r>
        <w:rPr>
          <w:rFonts w:ascii="Arial" w:cs="Arial" w:eastAsia="Arial" w:hAnsi="Arial"/>
          <w:b/>
          <w:bCs/>
          <w:color w:val="1B5E35"/>
          <w:sz w:val="32"/>
          <w:szCs w:val="32"/>
        </w:rPr>
        <w:t xml:space="preserve">10. Performance &amp; Résilience</w:t>
      </w:r>
    </w:p>
    <w:p>
      <w:pPr>
        <w:pStyle w:val="Heading2"/>
        <w:spacing w:after="140" w:before="280"/>
      </w:pPr>
      <w:r>
        <w:rPr>
          <w:rFonts w:ascii="Arial" w:cs="Arial" w:eastAsia="Arial" w:hAnsi="Arial"/>
          <w:b/>
          <w:bCs/>
          <w:color w:val="1A237E"/>
          <w:sz w:val="26"/>
          <w:szCs w:val="26"/>
        </w:rPr>
        <w:t xml:space="preserve">10.1 Optimisations React Native</w:t>
      </w:r>
    </w:p>
    <w:p>
      <w:pPr>
        <w:pStyle w:val="ListParagraph"/>
        <w:numPr>
          <w:ilvl w:val="0"/>
          <w:numId w:val="2"/>
        </w:numPr>
        <w:spacing w:after="40" w:before="40"/>
      </w:pPr>
      <w:r>
        <w:rPr>
          <w:rFonts w:ascii="Arial" w:cs="Arial" w:eastAsia="Arial" w:hAnsi="Arial"/>
          <w:sz w:val="22"/>
          <w:szCs w:val="22"/>
        </w:rPr>
        <w:t xml:space="preserve">Hermes engine — compilation AOT, démarrage rapide, empreinte mémoire réduite</w:t>
      </w:r>
    </w:p>
    <w:p>
      <w:pPr>
        <w:pStyle w:val="ListParagraph"/>
        <w:numPr>
          <w:ilvl w:val="0"/>
          <w:numId w:val="2"/>
        </w:numPr>
        <w:spacing w:after="40" w:before="40"/>
      </w:pPr>
      <w:r>
        <w:rPr>
          <w:rFonts w:ascii="Arial" w:cs="Arial" w:eastAsia="Arial" w:hAnsi="Arial"/>
          <w:sz w:val="22"/>
          <w:szCs w:val="22"/>
        </w:rPr>
        <w:t xml:space="preserve">TurboModules — bridge natif nouvelle génération, chargement à la demande</w:t>
      </w:r>
    </w:p>
    <w:p>
      <w:pPr>
        <w:pStyle w:val="ListParagraph"/>
        <w:numPr>
          <w:ilvl w:val="0"/>
          <w:numId w:val="2"/>
        </w:numPr>
        <w:spacing w:after="40" w:before="40"/>
      </w:pPr>
      <w:r>
        <w:rPr>
          <w:rFonts w:ascii="Arial" w:cs="Arial" w:eastAsia="Arial" w:hAnsi="Arial"/>
          <w:sz w:val="22"/>
          <w:szCs w:val="22"/>
        </w:rPr>
        <w:t xml:space="preserve">React.memo sur toutes les pages — évite les re-renders inutiles</w:t>
      </w:r>
    </w:p>
    <w:p>
      <w:pPr>
        <w:pStyle w:val="ListParagraph"/>
        <w:numPr>
          <w:ilvl w:val="0"/>
          <w:numId w:val="2"/>
        </w:numPr>
        <w:spacing w:after="40" w:before="40"/>
      </w:pPr>
      <w:r>
        <w:rPr>
          <w:rFonts w:ascii="Arial" w:cs="Arial" w:eastAsia="Arial" w:hAnsi="Arial"/>
          <w:sz w:val="22"/>
          <w:szCs w:val="22"/>
        </w:rPr>
        <w:t xml:space="preserve">useMemo pour tous les calculs dérivés (totalPatrimoine, plGlobal, masi, cats)</w:t>
      </w:r>
    </w:p>
    <w:p>
      <w:pPr>
        <w:pStyle w:val="ListParagraph"/>
        <w:numPr>
          <w:ilvl w:val="0"/>
          <w:numId w:val="2"/>
        </w:numPr>
        <w:spacing w:after="40" w:before="40"/>
      </w:pPr>
      <w:r>
        <w:rPr>
          <w:rFonts w:ascii="Arial" w:cs="Arial" w:eastAsia="Arial" w:hAnsi="Arial"/>
          <w:sz w:val="22"/>
          <w:szCs w:val="22"/>
        </w:rPr>
        <w:t xml:space="preserve">Zustand sélecteurs — chaque composant souscrit uniquement à son slice</w:t>
      </w:r>
    </w:p>
    <w:p>
      <w:pPr>
        <w:pStyle w:val="Heading2"/>
        <w:spacing w:after="140" w:before="280"/>
      </w:pPr>
      <w:r>
        <w:rPr>
          <w:rFonts w:ascii="Arial" w:cs="Arial" w:eastAsia="Arial" w:hAnsi="Arial"/>
          <w:b/>
          <w:bCs/>
          <w:color w:val="1A237E"/>
          <w:sz w:val="26"/>
          <w:szCs w:val="26"/>
        </w:rPr>
        <w:t xml:space="preserve">10.2 Stratégie de cache multi-niveaux</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800"/>
        <w:gridCol w:w="1400"/>
        <w:gridCol w:w="1760"/>
      </w:tblGrid>
      <w:tr>
        <w:trPr>
          <w:tblHeader/>
        </w:trPr>
        <w:tc>
          <w:tcPr>
            <w:tcW w:type="dxa" w:w="2200"/>
            <w:tcBorders>
              <w:top w:val="single" w:color="CCCCCC" w:sz="1"/>
              <w:left w:val="single" w:color="CCCCCC" w:sz="1"/>
              <w:bottom w:val="single" w:color="CCCCCC" w:sz="1"/>
              <w:right w:val="single" w:color="CCCCCC" w:sz="1"/>
            </w:tcBorders>
            <w:shd w:fill="1B5E35" w:val="clear"/>
            <w:tcMar>
              <w:top w:type="dxa" w:w="80"/>
              <w:left w:type="dxa" w:w="160"/>
              <w:bottom w:type="dxa" w:w="80"/>
              <w:right w:type="dxa" w:w="160"/>
            </w:tcMar>
          </w:tcPr>
          <w:p>
            <w:r>
              <w:rPr>
                <w:rFonts w:ascii="Arial" w:cs="Arial" w:eastAsia="Arial" w:hAnsi="Arial"/>
                <w:b/>
                <w:bCs/>
                <w:color w:val="FFFFFF"/>
                <w:sz w:val="20"/>
                <w:szCs w:val="20"/>
              </w:rPr>
              <w:t xml:space="preserve">Niveau</w:t>
            </w:r>
          </w:p>
        </w:tc>
        <w:tc>
          <w:tcPr>
            <w:tcW w:type="dxa" w:w="2200"/>
            <w:tcBorders>
              <w:top w:val="single" w:color="CCCCCC" w:sz="1"/>
              <w:left w:val="single" w:color="CCCCCC" w:sz="1"/>
              <w:bottom w:val="single" w:color="CCCCCC" w:sz="1"/>
              <w:right w:val="single" w:color="CCCCCC" w:sz="1"/>
            </w:tcBorders>
            <w:shd w:fill="1B5E35" w:val="clear"/>
            <w:tcMar>
              <w:top w:type="dxa" w:w="80"/>
              <w:left w:type="dxa" w:w="160"/>
              <w:bottom w:type="dxa" w:w="80"/>
              <w:right w:type="dxa" w:w="160"/>
            </w:tcMar>
          </w:tcPr>
          <w:p>
            <w:r>
              <w:rPr>
                <w:rFonts w:ascii="Arial" w:cs="Arial" w:eastAsia="Arial" w:hAnsi="Arial"/>
                <w:b/>
                <w:bCs/>
                <w:color w:val="FFFFFF"/>
                <w:sz w:val="20"/>
                <w:szCs w:val="20"/>
              </w:rPr>
              <w:t xml:space="preserve">Stockage</w:t>
            </w:r>
          </w:p>
        </w:tc>
        <w:tc>
          <w:tcPr>
            <w:tcW w:type="dxa" w:w="1800"/>
            <w:tcBorders>
              <w:top w:val="single" w:color="CCCCCC" w:sz="1"/>
              <w:left w:val="single" w:color="CCCCCC" w:sz="1"/>
              <w:bottom w:val="single" w:color="CCCCCC" w:sz="1"/>
              <w:right w:val="single" w:color="CCCCCC" w:sz="1"/>
            </w:tcBorders>
            <w:shd w:fill="1B5E35" w:val="clear"/>
            <w:tcMar>
              <w:top w:type="dxa" w:w="80"/>
              <w:left w:type="dxa" w:w="160"/>
              <w:bottom w:type="dxa" w:w="80"/>
              <w:right w:type="dxa" w:w="160"/>
            </w:tcMar>
          </w:tcPr>
          <w:p>
            <w:r>
              <w:rPr>
                <w:rFonts w:ascii="Arial" w:cs="Arial" w:eastAsia="Arial" w:hAnsi="Arial"/>
                <w:b/>
                <w:bCs/>
                <w:color w:val="FFFFFF"/>
                <w:sz w:val="20"/>
                <w:szCs w:val="20"/>
              </w:rPr>
              <w:t xml:space="preserve">Donnée</w:t>
            </w:r>
          </w:p>
        </w:tc>
        <w:tc>
          <w:tcPr>
            <w:tcW w:type="dxa" w:w="1400"/>
            <w:tcBorders>
              <w:top w:val="single" w:color="CCCCCC" w:sz="1"/>
              <w:left w:val="single" w:color="CCCCCC" w:sz="1"/>
              <w:bottom w:val="single" w:color="CCCCCC" w:sz="1"/>
              <w:right w:val="single" w:color="CCCCCC" w:sz="1"/>
            </w:tcBorders>
            <w:shd w:fill="1B5E35" w:val="clear"/>
            <w:tcMar>
              <w:top w:type="dxa" w:w="80"/>
              <w:left w:type="dxa" w:w="160"/>
              <w:bottom w:type="dxa" w:w="80"/>
              <w:right w:type="dxa" w:w="160"/>
            </w:tcMar>
          </w:tcPr>
          <w:p>
            <w:r>
              <w:rPr>
                <w:rFonts w:ascii="Arial" w:cs="Arial" w:eastAsia="Arial" w:hAnsi="Arial"/>
                <w:b/>
                <w:bCs/>
                <w:color w:val="FFFFFF"/>
                <w:sz w:val="20"/>
                <w:szCs w:val="20"/>
              </w:rPr>
              <w:t xml:space="preserve">TTL</w:t>
            </w:r>
          </w:p>
        </w:tc>
        <w:tc>
          <w:tcPr>
            <w:tcW w:type="dxa" w:w="1760"/>
            <w:tcBorders>
              <w:top w:val="single" w:color="CCCCCC" w:sz="1"/>
              <w:left w:val="single" w:color="CCCCCC" w:sz="1"/>
              <w:bottom w:val="single" w:color="CCCCCC" w:sz="1"/>
              <w:right w:val="single" w:color="CCCCCC" w:sz="1"/>
            </w:tcBorders>
            <w:shd w:fill="1B5E35" w:val="clear"/>
            <w:tcMar>
              <w:top w:type="dxa" w:w="80"/>
              <w:left w:type="dxa" w:w="160"/>
              <w:bottom w:type="dxa" w:w="80"/>
              <w:right w:type="dxa" w:w="160"/>
            </w:tcMar>
          </w:tcPr>
          <w:p>
            <w:r>
              <w:rPr>
                <w:rFonts w:ascii="Arial" w:cs="Arial" w:eastAsia="Arial" w:hAnsi="Arial"/>
                <w:b/>
                <w:bCs/>
                <w:color w:val="FFFFFF"/>
                <w:sz w:val="20"/>
                <w:szCs w:val="20"/>
              </w:rPr>
              <w:t xml:space="preserve">Invalidation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L1 — Mémoire Deno</w:t>
            </w:r>
          </w:p>
        </w:tc>
        <w:tc>
          <w:tcPr>
            <w:tcW w:type="dxa" w:w="2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Edge Function instance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Or, Devises, BVC</w:t>
            </w:r>
          </w:p>
        </w:tc>
        <w:tc>
          <w:tcPr>
            <w:tcW w:type="dxa" w:w="14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5/15/30 min</w:t>
            </w:r>
          </w:p>
        </w:tc>
        <w:tc>
          <w:tcPr>
            <w:tcW w:type="dxa" w:w="17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Automatique (TTL)</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L2 — Mémoire JS</w:t>
            </w:r>
          </w:p>
        </w:tc>
        <w:tc>
          <w:tcPr>
            <w:tcW w:type="dxa" w:w="22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_bvcCache (module)</w:t>
            </w:r>
          </w:p>
        </w:tc>
        <w:tc>
          <w:tcPr>
            <w:tcW w:type="dxa" w:w="18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BVC cours</w:t>
            </w:r>
          </w:p>
        </w:tc>
        <w:tc>
          <w:tcPr>
            <w:tcW w:type="dxa" w:w="14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30 min</w:t>
            </w:r>
          </w:p>
        </w:tc>
        <w:tc>
          <w:tcPr>
            <w:tcW w:type="dxa" w:w="17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forceRefresh=true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L3 — AsyncStorage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Téléphone utilisateur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BVC cours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24h</w:t>
            </w:r>
          </w:p>
        </w:tc>
        <w:tc>
          <w:tcPr>
            <w:tcW w:type="dxa" w:w="17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BVC_STALE_MS dépassé</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L4 — Supabase DB</w:t>
            </w:r>
          </w:p>
        </w:tc>
        <w:tc>
          <w:tcPr>
            <w:tcW w:type="dxa" w:w="22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Cloud PostgreSQL</w:t>
            </w:r>
          </w:p>
        </w:tc>
        <w:tc>
          <w:tcPr>
            <w:tcW w:type="dxa" w:w="18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Données patrimoine</w:t>
            </w:r>
          </w:p>
        </w:tc>
        <w:tc>
          <w:tcPr>
            <w:tcW w:type="dxa" w:w="14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Pas d'expiration</w:t>
            </w:r>
          </w:p>
        </w:tc>
        <w:tc>
          <w:tcPr>
            <w:tcW w:type="dxa" w:w="17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Chaque modification</w:t>
            </w:r>
          </w:p>
        </w:tc>
      </w:tr>
    </w:tbl>
    <w:p>
      <w:pPr>
        <w:pStyle w:val="Heading2"/>
        <w:spacing w:after="140" w:before="280"/>
      </w:pPr>
      <w:r>
        <w:rPr>
          <w:rFonts w:ascii="Arial" w:cs="Arial" w:eastAsia="Arial" w:hAnsi="Arial"/>
          <w:b/>
          <w:bCs/>
          <w:color w:val="1A237E"/>
          <w:sz w:val="26"/>
          <w:szCs w:val="26"/>
        </w:rPr>
        <w:t xml:space="preserve">10.3 Gestion hors ligne</w:t>
      </w:r>
    </w:p>
    <w:p>
      <w:pPr>
        <w:pStyle w:val="ListParagraph"/>
        <w:numPr>
          <w:ilvl w:val="0"/>
          <w:numId w:val="2"/>
        </w:numPr>
        <w:spacing w:after="40" w:before="40"/>
      </w:pPr>
      <w:r>
        <w:rPr>
          <w:rFonts w:ascii="Arial" w:cs="Arial" w:eastAsia="Arial" w:hAnsi="Arial"/>
          <w:sz w:val="22"/>
          <w:szCs w:val="22"/>
        </w:rPr>
        <w:t xml:space="preserve">Détection réseau → setIsOffline(true) → bannière avertissement</w:t>
      </w:r>
    </w:p>
    <w:p>
      <w:pPr>
        <w:pStyle w:val="ListParagraph"/>
        <w:numPr>
          <w:ilvl w:val="0"/>
          <w:numId w:val="2"/>
        </w:numPr>
        <w:spacing w:after="40" w:before="40"/>
      </w:pPr>
      <w:r>
        <w:rPr>
          <w:rFonts w:ascii="Arial" w:cs="Arial" w:eastAsia="Arial" w:hAnsi="Arial"/>
          <w:sz w:val="22"/>
          <w:szCs w:val="22"/>
        </w:rPr>
        <w:t xml:space="preserve">Données patrimoine disponibles depuis AsyncStorage même hors ligne</w:t>
      </w:r>
    </w:p>
    <w:p>
      <w:pPr>
        <w:pStyle w:val="ListParagraph"/>
        <w:numPr>
          <w:ilvl w:val="0"/>
          <w:numId w:val="2"/>
        </w:numPr>
        <w:spacing w:after="40" w:before="40"/>
      </w:pPr>
      <w:r>
        <w:rPr>
          <w:rFonts w:ascii="Arial" w:cs="Arial" w:eastAsia="Arial" w:hAnsi="Arial"/>
          <w:sz w:val="22"/>
          <w:szCs w:val="22"/>
        </w:rPr>
        <w:t xml:space="preserve">Modifications en hors ligne → sauvegarde locale → sync automatique à la reconnexion</w:t>
      </w:r>
    </w:p>
    <w:p>
      <w:pPr>
        <w:pStyle w:val="ListParagraph"/>
        <w:numPr>
          <w:ilvl w:val="0"/>
          <w:numId w:val="2"/>
        </w:numPr>
        <w:spacing w:after="40" w:before="40"/>
      </w:pPr>
      <w:r>
        <w:rPr>
          <w:rFonts w:ascii="Arial" w:cs="Arial" w:eastAsia="Arial" w:hAnsi="Arial"/>
          <w:sz w:val="22"/>
          <w:szCs w:val="22"/>
        </w:rPr>
        <w:t xml:space="preserve">Cours marché non disponibles hors ligne → valeur DH affichée inchangée (dernière connue)</w:t>
      </w:r>
    </w:p>
    <w:p>
      <w:pPr>
        <w:pStyle w:val="Heading1"/>
        <w:pageBreakBefore/>
        <w:pBdr>
          <w:bottom w:val="single" w:color="1B5E35" w:sz="8" w:space="4"/>
        </w:pBdr>
        <w:spacing w:after="200" w:before="360"/>
      </w:pPr>
      <w:r>
        <w:rPr>
          <w:rFonts w:ascii="Arial" w:cs="Arial" w:eastAsia="Arial" w:hAnsi="Arial"/>
          <w:b/>
          <w:bCs/>
          <w:color w:val="1B5E35"/>
          <w:sz w:val="32"/>
          <w:szCs w:val="32"/>
        </w:rPr>
        <w:t xml:space="preserve">11. Roadmap Technique</w:t>
      </w:r>
    </w:p>
    <w:p>
      <w:pPr>
        <w:pStyle w:val="Heading2"/>
        <w:spacing w:after="140" w:before="280"/>
      </w:pPr>
      <w:r>
        <w:rPr>
          <w:rFonts w:ascii="Arial" w:cs="Arial" w:eastAsia="Arial" w:hAnsi="Arial"/>
          <w:b/>
          <w:bCs/>
          <w:color w:val="1A237E"/>
          <w:sz w:val="26"/>
          <w:szCs w:val="26"/>
        </w:rPr>
        <w:t xml:space="preserve">11.1 Versions passées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1B5E35" w:val="clear"/>
            <w:tcMar>
              <w:top w:type="dxa" w:w="80"/>
              <w:left w:type="dxa" w:w="160"/>
              <w:bottom w:type="dxa" w:w="80"/>
              <w:right w:type="dxa" w:w="160"/>
            </w:tcMar>
          </w:tcPr>
          <w:p>
            <w:r>
              <w:rPr>
                <w:rFonts w:ascii="Arial" w:cs="Arial" w:eastAsia="Arial" w:hAnsi="Arial"/>
                <w:b/>
                <w:bCs/>
                <w:color w:val="FFFFFF"/>
                <w:sz w:val="20"/>
                <w:szCs w:val="20"/>
              </w:rPr>
              <w:t xml:space="preserve">Version</w:t>
            </w:r>
          </w:p>
        </w:tc>
        <w:tc>
          <w:tcPr>
            <w:tcW w:type="dxa" w:w="7560"/>
            <w:tcBorders>
              <w:top w:val="single" w:color="CCCCCC" w:sz="1"/>
              <w:left w:val="single" w:color="CCCCCC" w:sz="1"/>
              <w:bottom w:val="single" w:color="CCCCCC" w:sz="1"/>
              <w:right w:val="single" w:color="CCCCCC" w:sz="1"/>
            </w:tcBorders>
            <w:shd w:fill="1B5E35" w:val="clear"/>
            <w:tcMar>
              <w:top w:type="dxa" w:w="80"/>
              <w:left w:type="dxa" w:w="160"/>
              <w:bottom w:type="dxa" w:w="80"/>
              <w:right w:type="dxa" w:w="160"/>
            </w:tcMar>
          </w:tcPr>
          <w:p>
            <w:r>
              <w:rPr>
                <w:rFonts w:ascii="Arial" w:cs="Arial" w:eastAsia="Arial" w:hAnsi="Arial"/>
                <w:b/>
                <w:bCs/>
                <w:color w:val="FFFFFF"/>
                <w:sz w:val="20"/>
                <w:szCs w:val="20"/>
              </w:rPr>
              <w:t xml:space="preserve">Fonctionnalités clés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v1.0</w:t>
            </w:r>
          </w:p>
        </w:tc>
        <w:tc>
          <w:tcPr>
            <w:tcW w:type="dxa" w:w="75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Structure initiale, 8 catégories, calculs purs, AsyncStorage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v1.2</w:t>
            </w:r>
          </w:p>
        </w:tc>
        <w:tc>
          <w:tcPr>
            <w:tcW w:type="dxa" w:w="75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Zustand store, navigation custom, composants shared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v1.4</w:t>
            </w:r>
          </w:p>
        </w:tc>
        <w:tc>
          <w:tcPr>
            <w:tcW w:type="dxa" w:w="75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Edge Function proxy, biométrie, système de migrations</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v1.5</w:t>
            </w:r>
          </w:p>
        </w:tc>
        <w:tc>
          <w:tcPr>
            <w:tcW w:type="dxa" w:w="75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Mode discret, historique (max 400), score de santé</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v1.6 (actuel)</w:t>
            </w:r>
          </w:p>
        </w:tc>
        <w:tc>
          <w:tcPr>
            <w:tcW w:type="dxa" w:w="75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P&amp;L global, MASI temps réel, Yakeen, Accueil 5 catégories, donut 8 couleurs</w:t>
            </w:r>
          </w:p>
        </w:tc>
      </w:tr>
    </w:tbl>
    <w:p>
      <w:pPr>
        <w:pStyle w:val="Heading2"/>
        <w:spacing w:after="140" w:before="280"/>
      </w:pPr>
      <w:r>
        <w:rPr>
          <w:rFonts w:ascii="Arial" w:cs="Arial" w:eastAsia="Arial" w:hAnsi="Arial"/>
          <w:b/>
          <w:bCs/>
          <w:color w:val="1A237E"/>
          <w:sz w:val="26"/>
          <w:szCs w:val="26"/>
        </w:rPr>
        <w:t xml:space="preserve">11.2 Évolutions planifiées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1600"/>
        <w:gridCol w:w="3360"/>
      </w:tblGrid>
      <w:tr>
        <w:trPr>
          <w:tblHeader/>
        </w:trPr>
        <w:tc>
          <w:tcPr>
            <w:tcW w:type="dxa" w:w="1200"/>
            <w:tcBorders>
              <w:top w:val="single" w:color="CCCCCC" w:sz="1"/>
              <w:left w:val="single" w:color="CCCCCC" w:sz="1"/>
              <w:bottom w:val="single" w:color="CCCCCC" w:sz="1"/>
              <w:right w:val="single" w:color="CCCCCC" w:sz="1"/>
            </w:tcBorders>
            <w:shd w:fill="1B5E35" w:val="clear"/>
            <w:tcMar>
              <w:top w:type="dxa" w:w="80"/>
              <w:left w:type="dxa" w:w="160"/>
              <w:bottom w:type="dxa" w:w="80"/>
              <w:right w:type="dxa" w:w="160"/>
            </w:tcMar>
          </w:tcPr>
          <w:p>
            <w:r>
              <w:rPr>
                <w:rFonts w:ascii="Arial" w:cs="Arial" w:eastAsia="Arial" w:hAnsi="Arial"/>
                <w:b/>
                <w:bCs/>
                <w:color w:val="FFFFFF"/>
                <w:sz w:val="20"/>
                <w:szCs w:val="20"/>
              </w:rPr>
              <w:t xml:space="preserve">Priorité</w:t>
            </w:r>
          </w:p>
        </w:tc>
        <w:tc>
          <w:tcPr>
            <w:tcW w:type="dxa" w:w="3200"/>
            <w:tcBorders>
              <w:top w:val="single" w:color="CCCCCC" w:sz="1"/>
              <w:left w:val="single" w:color="CCCCCC" w:sz="1"/>
              <w:bottom w:val="single" w:color="CCCCCC" w:sz="1"/>
              <w:right w:val="single" w:color="CCCCCC" w:sz="1"/>
            </w:tcBorders>
            <w:shd w:fill="1B5E35" w:val="clear"/>
            <w:tcMar>
              <w:top w:type="dxa" w:w="80"/>
              <w:left w:type="dxa" w:w="160"/>
              <w:bottom w:type="dxa" w:w="80"/>
              <w:right w:type="dxa" w:w="160"/>
            </w:tcMar>
          </w:tcPr>
          <w:p>
            <w:r>
              <w:rPr>
                <w:rFonts w:ascii="Arial" w:cs="Arial" w:eastAsia="Arial" w:hAnsi="Arial"/>
                <w:b/>
                <w:bCs/>
                <w:color w:val="FFFFFF"/>
                <w:sz w:val="20"/>
                <w:szCs w:val="20"/>
              </w:rPr>
              <w:t xml:space="preserve">Feature</w:t>
            </w:r>
          </w:p>
        </w:tc>
        <w:tc>
          <w:tcPr>
            <w:tcW w:type="dxa" w:w="1600"/>
            <w:tcBorders>
              <w:top w:val="single" w:color="CCCCCC" w:sz="1"/>
              <w:left w:val="single" w:color="CCCCCC" w:sz="1"/>
              <w:bottom w:val="single" w:color="CCCCCC" w:sz="1"/>
              <w:right w:val="single" w:color="CCCCCC" w:sz="1"/>
            </w:tcBorders>
            <w:shd w:fill="1B5E35" w:val="clear"/>
            <w:tcMar>
              <w:top w:type="dxa" w:w="80"/>
              <w:left w:type="dxa" w:w="160"/>
              <w:bottom w:type="dxa" w:w="80"/>
              <w:right w:type="dxa" w:w="160"/>
            </w:tcMar>
          </w:tcPr>
          <w:p>
            <w:r>
              <w:rPr>
                <w:rFonts w:ascii="Arial" w:cs="Arial" w:eastAsia="Arial" w:hAnsi="Arial"/>
                <w:b/>
                <w:bCs/>
                <w:color w:val="FFFFFF"/>
                <w:sz w:val="20"/>
                <w:szCs w:val="20"/>
              </w:rPr>
              <w:t xml:space="preserve">Complexité</w:t>
            </w:r>
          </w:p>
        </w:tc>
        <w:tc>
          <w:tcPr>
            <w:tcW w:type="dxa" w:w="3360"/>
            <w:tcBorders>
              <w:top w:val="single" w:color="CCCCCC" w:sz="1"/>
              <w:left w:val="single" w:color="CCCCCC" w:sz="1"/>
              <w:bottom w:val="single" w:color="CCCCCC" w:sz="1"/>
              <w:right w:val="single" w:color="CCCCCC" w:sz="1"/>
            </w:tcBorders>
            <w:shd w:fill="1B5E35" w:val="clear"/>
            <w:tcMar>
              <w:top w:type="dxa" w:w="80"/>
              <w:left w:type="dxa" w:w="160"/>
              <w:bottom w:type="dxa" w:w="80"/>
              <w:right w:type="dxa" w:w="160"/>
            </w:tcMar>
          </w:tcPr>
          <w:p>
            <w:r>
              <w:rPr>
                <w:rFonts w:ascii="Arial" w:cs="Arial" w:eastAsia="Arial" w:hAnsi="Arial"/>
                <w:b/>
                <w:bCs/>
                <w:color w:val="FFFFFF"/>
                <w:sz w:val="20"/>
                <w:szCs w:val="20"/>
              </w:rPr>
              <w:t xml:space="preserve">Impact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P1</w:t>
            </w:r>
          </w:p>
        </w:tc>
        <w:tc>
          <w:tcPr>
            <w:tcW w:type="dxa" w:w="3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Android — Build Google Play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Haute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Doubler l'audience potentielle</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P1</w:t>
            </w:r>
          </w:p>
        </w:tc>
        <w:tc>
          <w:tcPr>
            <w:tcW w:type="dxa" w:w="32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Notifications push (alertes seuils)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Moyenne</w:t>
            </w:r>
          </w:p>
        </w:tc>
        <w:tc>
          <w:tcPr>
            <w:tcW w:type="dxa" w:w="3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Rétention utilisateurs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P2</w:t>
            </w:r>
          </w:p>
        </w:tc>
        <w:tc>
          <w:tcPr>
            <w:tcW w:type="dxa" w:w="3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Supabase Realtime — alertes patrimoine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Moyenne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Fonctionnalité premium</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P2</w:t>
            </w:r>
          </w:p>
        </w:tc>
        <w:tc>
          <w:tcPr>
            <w:tcW w:type="dxa" w:w="32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Export PDF / Excel du patrimoine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Faible</w:t>
            </w:r>
          </w:p>
        </w:tc>
        <w:tc>
          <w:tcPr>
            <w:tcW w:type="dxa" w:w="3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Usage professionnel</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P2</w:t>
            </w:r>
          </w:p>
        </w:tc>
        <w:tc>
          <w:tcPr>
            <w:tcW w:type="dxa" w:w="3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Storage Supabase — import documents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Moyenne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KYC / documents actifs</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P3</w:t>
            </w:r>
          </w:p>
        </w:tc>
        <w:tc>
          <w:tcPr>
            <w:tcW w:type="dxa" w:w="32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Apple Pay / paiement in-app</w:t>
            </w:r>
          </w:p>
        </w:tc>
        <w:tc>
          <w:tcPr>
            <w:tcW w:type="dxa" w:w="16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Haute</w:t>
            </w:r>
          </w:p>
        </w:tc>
        <w:tc>
          <w:tcPr>
            <w:tcW w:type="dxa" w:w="3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Conversion PatriMoi+</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P3</w:t>
            </w:r>
          </w:p>
        </w:tc>
        <w:tc>
          <w:tcPr>
            <w:tcW w:type="dxa" w:w="3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API CIH / AWB (open banking Maroc)</w:t>
            </w:r>
          </w:p>
        </w:tc>
        <w:tc>
          <w:tcPr>
            <w:tcW w:type="dxa" w:w="16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Très haute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Sync soldes automatique</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P3</w:t>
            </w:r>
          </w:p>
        </w:tc>
        <w:tc>
          <w:tcPr>
            <w:tcW w:type="dxa" w:w="32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Objectifs et simulations (projection)</w:t>
            </w:r>
          </w:p>
        </w:tc>
        <w:tc>
          <w:tcPr>
            <w:tcW w:type="dxa" w:w="16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Haute</w:t>
            </w:r>
          </w:p>
        </w:tc>
        <w:tc>
          <w:tcPr>
            <w:tcW w:type="dxa" w:w="3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20"/>
                <w:szCs w:val="20"/>
              </w:rPr>
              <w:t xml:space="preserve">Différenciation produit</w:t>
            </w:r>
          </w:p>
        </w:tc>
      </w:tr>
    </w:tbl>
    <w:p>
      <w:pPr>
        <w:pStyle w:val="Heading2"/>
        <w:spacing w:after="140" w:before="280"/>
      </w:pPr>
      <w:r>
        <w:rPr>
          <w:rFonts w:ascii="Arial" w:cs="Arial" w:eastAsia="Arial" w:hAnsi="Arial"/>
          <w:b/>
          <w:bCs/>
          <w:color w:val="1A237E"/>
          <w:sz w:val="26"/>
          <w:szCs w:val="26"/>
        </w:rPr>
        <w:t xml:space="preserve">11.3 Dette technique identifiée</w:t>
      </w:r>
    </w:p>
    <w:p>
      <w:pPr>
        <w:pStyle w:val="ListParagraph"/>
        <w:numPr>
          <w:ilvl w:val="0"/>
          <w:numId w:val="2"/>
        </w:numPr>
        <w:spacing w:after="40" w:before="40"/>
      </w:pPr>
      <w:r>
        <w:rPr>
          <w:rFonts w:ascii="Arial" w:cs="Arial" w:eastAsia="Arial" w:hAnsi="Arial"/>
          <w:sz w:val="22"/>
          <w:szCs w:val="22"/>
        </w:rPr>
        <w:t xml:space="preserve">Navigation : migrer vers react-navigation v7 pour une meilleure gestion des deep links</w:t>
      </w:r>
    </w:p>
    <w:p>
      <w:pPr>
        <w:pStyle w:val="ListParagraph"/>
        <w:numPr>
          <w:ilvl w:val="0"/>
          <w:numId w:val="2"/>
        </w:numPr>
        <w:spacing w:after="40" w:before="40"/>
      </w:pPr>
      <w:r>
        <w:rPr>
          <w:rFonts w:ascii="Arial" w:cs="Arial" w:eastAsia="Arial" w:hAnsi="Arial"/>
          <w:sz w:val="22"/>
          <w:szCs w:val="22"/>
        </w:rPr>
        <w:t xml:space="preserve">Tests : couverture à étendre (actuellement 14/14 TNR tests, besoin de tests E2E)</w:t>
      </w:r>
    </w:p>
    <w:p>
      <w:pPr>
        <w:pStyle w:val="ListParagraph"/>
        <w:numPr>
          <w:ilvl w:val="0"/>
          <w:numId w:val="2"/>
        </w:numPr>
        <w:spacing w:after="40" w:before="40"/>
      </w:pPr>
      <w:r>
        <w:rPr>
          <w:rFonts w:ascii="Arial" w:cs="Arial" w:eastAsia="Arial" w:hAnsi="Arial"/>
          <w:sz w:val="22"/>
          <w:szCs w:val="22"/>
        </w:rPr>
        <w:t xml:space="preserve">Offline sync : implémenter une vraie queue de mutations (CRDT ou similaire)</w:t>
      </w:r>
    </w:p>
    <w:p>
      <w:pPr>
        <w:pStyle w:val="ListParagraph"/>
        <w:numPr>
          <w:ilvl w:val="0"/>
          <w:numId w:val="2"/>
        </w:numPr>
        <w:spacing w:after="40" w:before="40"/>
      </w:pPr>
      <w:r>
        <w:rPr>
          <w:rFonts w:ascii="Arial" w:cs="Arial" w:eastAsia="Arial" w:hAnsi="Arial"/>
          <w:sz w:val="22"/>
          <w:szCs w:val="22"/>
        </w:rPr>
        <w:t xml:space="preserve">Android : adapter les styles (SafeArea, shadow → elevation, biométrie Android)</w:t>
      </w:r>
    </w:p>
    <w:p>
      <w:pPr>
        <w:pStyle w:val="ListParagraph"/>
        <w:numPr>
          <w:ilvl w:val="0"/>
          <w:numId w:val="2"/>
        </w:numPr>
        <w:spacing w:after="40" w:before="40"/>
      </w:pPr>
      <w:r>
        <w:rPr>
          <w:rFonts w:ascii="Arial" w:cs="Arial" w:eastAsia="Arial" w:hAnsi="Arial"/>
          <w:sz w:val="22"/>
          <w:szCs w:val="22"/>
        </w:rPr>
        <w:t xml:space="preserve">Internationalisation : préparer i18n pour Algérie / Tunisie (langues + devises)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5E35" w:sz="4" w:space="4"/>
      </w:pBdr>
      <w:tabs>
        <w:tab w:val="right" w:pos="9026"/>
      </w:tabs>
    </w:pPr>
    <w:r>
      <w:rPr>
        <w:rFonts w:ascii="Arial" w:cs="Arial" w:eastAsia="Arial" w:hAnsi="Arial"/>
        <w:color w:val="607D8B"/>
        <w:sz w:val="18"/>
        <w:szCs w:val="18"/>
      </w:rPr>
      <w:t xml:space="preserve">© 2026 PatriMoi — Zineddine Othmane</w:t>
    </w:r>
    <w:r>
      <w:rPr>
        <w:sz w:val="18"/>
        <w:szCs w:val="18"/>
      </w:rPr>
      <w:t xml:space="preserve">	</w:t>
    </w:r>
    <w:r>
      <w:rPr>
        <w:rFonts w:ascii="Arial" w:cs="Arial" w:eastAsia="Arial" w:hAnsi="Arial"/>
        <w:color w:val="607D8B"/>
        <w:sz w:val="18"/>
        <w:szCs w:val="18"/>
      </w:rPr>
      <w:t xml:space="preserve">Page </w:t>
    </w:r>
    <w:r>
      <w:rPr>
        <w:rFonts w:ascii="Arial" w:cs="Arial" w:eastAsia="Arial" w:hAnsi="Arial"/>
        <w:color w:val="607D8B"/>
        <w:sz w:val="18"/>
        <w:szCs w:val="18"/>
      </w:rPr>
      <w:fldChar w:fldCharType="begin"/>
      <w:instrText xml:space="preserve">PAGE</w:instrText>
      <w:fldChar w:fldCharType="separate"/>
      <w:fldChar w:fldCharType="end"/>
    </w:r>
    <w:r>
      <w:rPr>
        <w:rFonts w:ascii="Arial" w:cs="Arial" w:eastAsia="Arial" w:hAnsi="Arial"/>
        <w:color w:val="607D8B"/>
        <w:sz w:val="18"/>
        <w:szCs w:val="18"/>
      </w:rPr>
      <w:t xml:space="preserve"> / </w:t>
    </w:r>
    <w:r>
      <w:rPr>
        <w:rFonts w:ascii="Arial" w:cs="Arial" w:eastAsia="Arial" w:hAnsi="Arial"/>
        <w:color w:val="607D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E35" w:sz="4" w:space="4"/>
      </w:pBdr>
      <w:tabs>
        <w:tab w:val="right" w:pos="9026"/>
      </w:tabs>
    </w:pPr>
    <w:r>
      <w:rPr>
        <w:rFonts w:ascii="Arial" w:cs="Arial" w:eastAsia="Arial" w:hAnsi="Arial"/>
        <w:color w:val="607D8B"/>
        <w:sz w:val="18"/>
        <w:szCs w:val="18"/>
      </w:rPr>
      <w:t xml:space="preserve">PatriMoi — Document d'Architecture Technique v1.6</w:t>
    </w:r>
    <w:r>
      <w:rPr>
        <w:rFonts w:ascii="Arial" w:cs="Arial" w:eastAsia="Arial" w:hAnsi="Arial"/>
        <w:sz w:val="18"/>
        <w:szCs w:val="18"/>
      </w:rPr>
      <w:t xml:space="preserve">	</w:t>
    </w:r>
    <w:r>
      <w:rPr>
        <w:rFonts w:ascii="Arial" w:cs="Arial" w:eastAsia="Arial" w:hAnsi="Arial"/>
        <w:b/>
        <w:bCs/>
        <w:color w:val="CC0000"/>
        <w:sz w:val="18"/>
        <w:szCs w:val="18"/>
      </w:rPr>
      <w:t xml:space="preserve">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5E35"/>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A237E"/>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0069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feb85b754a0f9f7168d7983739d18e9d4df4fc6.png"/><Relationship Id="rId10" Type="http://schemas.openxmlformats.org/officeDocument/2006/relationships/image" Target="media/442a1e3ce14c31cce7e0498da93f99dd072dd83b.png"/><Relationship Id="rId11" Type="http://schemas.openxmlformats.org/officeDocument/2006/relationships/image" Target="media/8f144ae99b38cc84c8705bc746346326fdecb4c9.png"/><Relationship Id="rId12" Type="http://schemas.openxmlformats.org/officeDocument/2006/relationships/image" Target="media/ad33684a0eac97503ef9fe1fdf4f0ea2eb89ed16.png"/><Relationship Id="rId13" Type="http://schemas.openxmlformats.org/officeDocument/2006/relationships/image" Target="media/5e9b116f00d28cd4de6f9e78182e64a536f40a7c.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2026-07-09T08:27:56.294Z</dcterms:created>
  <dcterms:modified xsi:type="dcterms:W3CDTF">2026-07-09T08:27:56.295Z</dcterms:modified>
</cp:coreProperties>
</file>

<file path=docProps/custom.xml><?xml version="1.0" encoding="utf-8"?>
<Properties xmlns="http://schemas.openxmlformats.org/officeDocument/2006/custom-properties" xmlns:vt="http://schemas.openxmlformats.org/officeDocument/2006/docPropsVTypes"/>
</file>